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B6" w:rsidRDefault="00F418B6" w:rsidP="00F418B6">
      <w:pPr>
        <w:pStyle w:val="ConsPlusNormal"/>
        <w:jc w:val="right"/>
        <w:rPr>
          <w:rFonts w:ascii="PT Astra Serif" w:eastAsia="Arial" w:hAnsi="PT Astra Serif"/>
          <w:szCs w:val="24"/>
        </w:rPr>
      </w:pPr>
      <w:r>
        <w:rPr>
          <w:rFonts w:ascii="PT Astra Serif" w:eastAsia="Arial" w:hAnsi="PT Astra Serif"/>
          <w:szCs w:val="24"/>
        </w:rPr>
        <w:t xml:space="preserve">Утвержден в составе  </w:t>
      </w:r>
    </w:p>
    <w:p w:rsidR="00F418B6" w:rsidRDefault="00F418B6" w:rsidP="00F418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eastAsia="Arial" w:hAnsi="PT Astra Serif" w:cs="PT Astra Serif"/>
          <w:sz w:val="24"/>
          <w:szCs w:val="24"/>
        </w:rPr>
      </w:pPr>
      <w:r>
        <w:rPr>
          <w:rFonts w:ascii="PT Astra Serif" w:eastAsia="Arial" w:hAnsi="PT Astra Serif" w:cs="PT Astra Serif"/>
          <w:sz w:val="24"/>
          <w:szCs w:val="24"/>
        </w:rPr>
        <w:t>государственной программы</w:t>
      </w:r>
    </w:p>
    <w:p w:rsidR="00F418B6" w:rsidRDefault="00526AB3" w:rsidP="00F418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eastAsia="Arial" w:hAnsi="PT Astra Serif" w:cs="PT Astra Serif"/>
          <w:sz w:val="24"/>
          <w:szCs w:val="24"/>
        </w:rPr>
        <w:t>«</w:t>
      </w:r>
      <w:r w:rsidR="00F418B6">
        <w:rPr>
          <w:rFonts w:ascii="PT Astra Serif" w:hAnsi="PT Astra Serif"/>
          <w:sz w:val="24"/>
          <w:szCs w:val="24"/>
        </w:rPr>
        <w:t xml:space="preserve">Развитие коммунальной инфраструктуры </w:t>
      </w:r>
    </w:p>
    <w:p w:rsidR="00F418B6" w:rsidRDefault="00F418B6" w:rsidP="00F418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Томской области</w:t>
      </w:r>
      <w:r w:rsidR="00526AB3">
        <w:rPr>
          <w:rFonts w:ascii="PT Astra Serif" w:hAnsi="PT Astra Serif"/>
          <w:sz w:val="24"/>
          <w:szCs w:val="24"/>
        </w:rPr>
        <w:t>»</w:t>
      </w:r>
      <w:r>
        <w:rPr>
          <w:rFonts w:ascii="PT Astra Serif" w:hAnsi="PT Astra Serif"/>
          <w:sz w:val="24"/>
          <w:szCs w:val="24"/>
        </w:rPr>
        <w:t xml:space="preserve"> (постановление</w:t>
      </w:r>
    </w:p>
    <w:p w:rsidR="00F418B6" w:rsidRDefault="00F418B6" w:rsidP="00F418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Администрации Томской области </w:t>
      </w:r>
    </w:p>
    <w:p w:rsidR="00F418B6" w:rsidRDefault="00F418B6" w:rsidP="00F418B6">
      <w:pP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27.09.2019 № 346а)</w:t>
      </w:r>
    </w:p>
    <w:p w:rsidR="001F3102" w:rsidRDefault="001F3102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</w:t>
      </w: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предоставления и распределения субсидий из областного бюджета бюджетам муниципальных образований Томской области на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платы 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</w:t>
      </w:r>
    </w:p>
    <w:p w:rsidR="001F3102" w:rsidRDefault="001F3102">
      <w:pPr>
        <w:pStyle w:val="ConsPlusNormal"/>
        <w:spacing w:after="1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Общие положения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1. Настоящий Порядок определяет правила предоставления и распределения субсидий из областного бюджета местным бюджетам на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платы 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(далее - Субсидия), а также устанавливает порядок и условия конкурсного отбора муниципальных образований для предоставления Субсидии.</w:t>
      </w:r>
    </w:p>
    <w:p w:rsidR="001F3102" w:rsidRPr="00C53EB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2. Целевым назначением Субсидии является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расходных </w:t>
      </w:r>
      <w:r w:rsidRPr="00C53EB2">
        <w:rPr>
          <w:rFonts w:ascii="PT Astra Serif" w:hAnsi="PT Astra Serif"/>
          <w:sz w:val="26"/>
          <w:szCs w:val="26"/>
        </w:rPr>
        <w:t xml:space="preserve">обязательств муниципальных образований Томской области (далее - муниципальные образования) на </w:t>
      </w:r>
      <w:proofErr w:type="spellStart"/>
      <w:r w:rsidRPr="00C53EB2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C53EB2">
        <w:rPr>
          <w:rFonts w:ascii="PT Astra Serif" w:hAnsi="PT Astra Serif"/>
          <w:sz w:val="26"/>
          <w:szCs w:val="26"/>
        </w:rPr>
        <w:t xml:space="preserve"> платы </w:t>
      </w:r>
      <w:proofErr w:type="spellStart"/>
      <w:r w:rsidRPr="00C53EB2">
        <w:rPr>
          <w:rFonts w:ascii="PT Astra Serif" w:hAnsi="PT Astra Serif"/>
          <w:sz w:val="26"/>
          <w:szCs w:val="26"/>
        </w:rPr>
        <w:t>концедента</w:t>
      </w:r>
      <w:proofErr w:type="spellEnd"/>
      <w:r w:rsidRPr="00C53EB2">
        <w:rPr>
          <w:rFonts w:ascii="PT Astra Serif" w:hAnsi="PT Astra Serif"/>
          <w:sz w:val="26"/>
          <w:szCs w:val="26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в рамках реализации государственной программы </w:t>
      </w:r>
      <w:r w:rsidR="00526AB3" w:rsidRPr="00C53EB2">
        <w:rPr>
          <w:rFonts w:ascii="PT Astra Serif" w:hAnsi="PT Astra Serif"/>
          <w:sz w:val="26"/>
          <w:szCs w:val="26"/>
        </w:rPr>
        <w:t>«</w:t>
      </w:r>
      <w:r w:rsidRPr="00C53EB2">
        <w:rPr>
          <w:rFonts w:ascii="PT Astra Serif" w:hAnsi="PT Astra Serif"/>
          <w:sz w:val="26"/>
          <w:szCs w:val="26"/>
        </w:rPr>
        <w:t>Развитие коммунальной инфраструктуры в Томской области</w:t>
      </w:r>
      <w:r w:rsidR="00526AB3" w:rsidRPr="00C53EB2">
        <w:rPr>
          <w:rFonts w:ascii="PT Astra Serif" w:hAnsi="PT Astra Serif"/>
          <w:sz w:val="26"/>
          <w:szCs w:val="26"/>
        </w:rPr>
        <w:t>»</w:t>
      </w:r>
      <w:r w:rsidRPr="00C53EB2">
        <w:rPr>
          <w:rFonts w:ascii="PT Astra Serif" w:hAnsi="PT Astra Serif"/>
          <w:sz w:val="26"/>
          <w:szCs w:val="26"/>
        </w:rPr>
        <w:t>.</w:t>
      </w:r>
    </w:p>
    <w:p w:rsidR="001F3102" w:rsidRPr="00C53EB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C53EB2">
        <w:rPr>
          <w:rFonts w:ascii="PT Astra Serif" w:hAnsi="PT Astra Serif"/>
          <w:sz w:val="26"/>
          <w:szCs w:val="26"/>
        </w:rPr>
        <w:t>3. Понятия, используемые в настоящем Порядке:</w:t>
      </w:r>
    </w:p>
    <w:p w:rsidR="00C53EB2" w:rsidRPr="00C53EB2" w:rsidRDefault="003D3CFD" w:rsidP="00C53EB2">
      <w:pPr>
        <w:pStyle w:val="afc"/>
        <w:spacing w:before="0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C53EB2">
        <w:rPr>
          <w:rFonts w:ascii="PT Astra Serif" w:hAnsi="PT Astra Serif"/>
          <w:sz w:val="26"/>
          <w:szCs w:val="26"/>
        </w:rPr>
        <w:t xml:space="preserve">концессионный проект - проект модернизации систем коммунальной инфраструктуры, реализуемый или планируемый к реализации в отношении объектов концессионного соглашения, относящихся к объектам систем </w:t>
      </w:r>
      <w:r w:rsidR="00C53EB2" w:rsidRPr="00C53EB2">
        <w:rPr>
          <w:rFonts w:ascii="PT Astra Serif" w:hAnsi="PT Astra Serif"/>
          <w:sz w:val="26"/>
          <w:szCs w:val="26"/>
        </w:rPr>
        <w:t>теплоснабжения, систем водоснабжения и водоотведения, технологически изолированных территориальных электроэнергетических систем;</w:t>
      </w:r>
    </w:p>
    <w:p w:rsidR="001F3102" w:rsidRPr="00C53EB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C53EB2">
        <w:rPr>
          <w:rFonts w:ascii="PT Astra Serif" w:hAnsi="PT Astra Serif"/>
          <w:sz w:val="26"/>
          <w:szCs w:val="26"/>
        </w:rPr>
        <w:t>проект модернизации - совокупность мероприятий по модернизации систем коммунальной инфраструктуры;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система коммунальной инфраструктуры - комплекс технологически связанных между собой объектов и инженерных сооружений, предназначенных для осуществления поставок товаров и оказания услуг в сферах электро-, тепло-, водоснабжения и водоотведения до точек подключения (технологического присоединения) к инженерным системам электро-, тепло-, водоснабжения и водоотведения объектов капитального строительства;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модернизация систем коммунальной инфраструктуры - реализация мероприятий по улучшению характеристик и эксплуатационных свойств объекта коммунальной инфраструктуры или его отдельных частей, в том числе путем его переустройства на основе внедрения новых технологий, механизации и автоматизации, модернизации и замены морально устаревшего и физически изношенного оборудования, входящего в состав объекта коммунальной инфраструктуры, новым более производительным оборудованием. Модернизация систем коммунальной инфраструктуры может осуществляться в ходе создания, реконструкции одного или нескольких объектов;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финансовая модель -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(с указанием применяемых индексов, норм и нормативов расчета, а также метода регулирования тарифов) и предлагаемых значений долгосрочных параметров регулирования тарифов для установления в рамках концессионного соглашения.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 Условиями предоставления субсидии являются: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наличие муниципального правового акта об утверждении порядка предоставления субсидий юридическому лицу для реализации концессионных соглашений;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заключение соглашения о предоставлении из областного бюджета Субсидии местному бюджету, предусматривающего обязательства муниципального образования по исполнению расходных обязательств,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 (далее - Соглашение).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Соглашение заключается в соответствии с типовой формой, утвержденной Департаментом финансов Томской области.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Заключение Соглашения на срок, превышающий срок действия утвержденных лимитов бюджетных обязательств, осуществляется в случаях, предусмотренных постановлениями Администрации Томской области, в пределах средств и на сроки, которые установлены указанными актами.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 Показателем результата использования Субсидии является объем привлеченных частных инвестиций к реализации проектов модернизации (тыс. руб.).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Значение показателя результата устанавливается Соглашением.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Порядок и условия конкурсного отбора муниципальных</w:t>
      </w: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образований для предоставления Субсидии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6. Субсидия предоставляется на конкурсной основе.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7. Конкурсный отбор муниципальных образований для предоставления Субсидии (далее - отбор) осуществляется конкурсной комиссией (далее - Комиссия), которая создается Департаментом ЖКХ и государственного жилищного надзора Томской области (далее - организатор отбора).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 Порядок работы и состав Комиссии определяются организатором отбора.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9. Для проведения отбора организатор отбора за 10 дней до дня начала приема заявок, но не позднее 1 апреля текущего финансового года, размещает на своем официальном сайте извещение о проведении отбора.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Извещение о проведении отбора должно содержать следующую информацию: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начала приема заявок на участие в отборе;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завершения приема заявок на участие в отборе.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10. Для участия в отборе муниципальные образования в срок до даты завершения приема заявок на участие в отборе, указанной в извещении о проведении отбора, </w:t>
      </w:r>
      <w:r>
        <w:rPr>
          <w:rFonts w:ascii="PT Astra Serif" w:hAnsi="PT Astra Serif"/>
          <w:sz w:val="26"/>
          <w:szCs w:val="26"/>
        </w:rPr>
        <w:lastRenderedPageBreak/>
        <w:t xml:space="preserve">направляют организатору отбора </w:t>
      </w:r>
      <w:hyperlink w:anchor="P179" w:tooltip="Заявка" w:history="1">
        <w:r>
          <w:rPr>
            <w:rFonts w:ascii="PT Astra Serif" w:hAnsi="PT Astra Serif"/>
            <w:sz w:val="26"/>
            <w:szCs w:val="26"/>
          </w:rPr>
          <w:t>заявку</w:t>
        </w:r>
      </w:hyperlink>
      <w:r>
        <w:rPr>
          <w:rFonts w:ascii="PT Astra Serif" w:hAnsi="PT Astra Serif"/>
          <w:sz w:val="26"/>
          <w:szCs w:val="26"/>
        </w:rPr>
        <w:t xml:space="preserve"> на участие в отборе (далее - заявка) по форме согласно приложению № 1 к настоящему Порядку в отношении каждого реализуемого или планируемого к реализации концессионного проекта.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Муниципальное образование прилагает к заявке: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отношении реализуемого концессионного проекта документы, указанные в </w:t>
      </w:r>
      <w:hyperlink w:anchor="P91" w:tooltip="18. Муниципальные образования для участия в отборе прилагают к заявке в отношении реализуемого концессионного проекта следующие документы:" w:history="1">
        <w:r>
          <w:rPr>
            <w:rFonts w:ascii="PT Astra Serif" w:hAnsi="PT Astra Serif"/>
            <w:sz w:val="26"/>
            <w:szCs w:val="26"/>
          </w:rPr>
          <w:t>пункте 18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отношении планируемого к реализации концессионного проекта документы, указанные в </w:t>
      </w:r>
      <w:hyperlink w:anchor="P94" w:tooltip="19. Муниципальные образования для участия в отборе прилагают к заявке в отношении планируемого к реализации концессионного проекта следующие документы:" w:history="1">
        <w:r>
          <w:rPr>
            <w:rFonts w:ascii="PT Astra Serif" w:hAnsi="PT Astra Serif"/>
            <w:sz w:val="26"/>
            <w:szCs w:val="26"/>
          </w:rPr>
          <w:t>пункте 19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Если документы, прилагаемые к заявке, представлены не в полном объеме или не соответствуют требованиям </w:t>
      </w:r>
      <w:hyperlink w:anchor="P91" w:tooltip="18. Муниципальные образования для участия в отборе прилагают к заявке в отношении реализуемого концессионного проекта следующие документы:" w:history="1">
        <w:r>
          <w:rPr>
            <w:rFonts w:ascii="PT Astra Serif" w:hAnsi="PT Astra Serif"/>
            <w:sz w:val="26"/>
            <w:szCs w:val="26"/>
          </w:rPr>
          <w:t>пунктов 18</w:t>
        </w:r>
      </w:hyperlink>
      <w:r>
        <w:rPr>
          <w:rFonts w:ascii="PT Astra Serif" w:hAnsi="PT Astra Serif"/>
          <w:sz w:val="26"/>
          <w:szCs w:val="26"/>
        </w:rPr>
        <w:t xml:space="preserve">, </w:t>
      </w:r>
      <w:hyperlink w:anchor="P94" w:tooltip="19. Муниципальные образования для участия в отборе прилагают к заявке в отношении планируемого к реализации концессионного проекта следующие документы:" w:history="1">
        <w:r>
          <w:rPr>
            <w:rFonts w:ascii="PT Astra Serif" w:hAnsi="PT Astra Serif"/>
            <w:sz w:val="26"/>
            <w:szCs w:val="26"/>
          </w:rPr>
          <w:t>19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или в заявку включены концессионные проекты, по которым на момент проведения отбора уже осуществляется предоставление финансовой поддержки из областного бюджета, то заявка муниципального образования оставляется без рассмотрения и не допускается к участию в отборе, о чем муниципальное образование уведомляется организатором отбора путем направления письменного уведомления в течение 10 рабочих дней с даты получения заявки, но не ранее даты начала приема заявок на участие в отборе.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11. В ходе проведения отбора осуществляется оценка указанных в заявке концессионных проектов, реализуемых или планируемых к реализации в муниципальных образованиях.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Оценка концессионных проектов проводится с учетом: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приоритетов и целей развития Российской Федерации и Томской области, установленных в документах стратегического планирования;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поручений и указов Президента Российской Федерации, поручений Правительства Российской Федерации и Губернатора Томской области;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оценки эффективности использования средств областного бюджета, направляемых на реализацию концессионного проекта (далее - оценка эффективности), осуществляемой в соответствии с настоящим Порядком;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необходимости финансирования концессионных проектов, реализуемых в рамках заключенных концессионных соглашений;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оценки влияния реализации концессионного проекта на комплексное территориальное развитие Томской области и (или) соответствующего муниципального образования;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оценки тарифных последствий;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возможности привлечения внебюджетных средств и средств федерального бюджета.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P61"/>
      <w:bookmarkEnd w:id="1"/>
      <w:r>
        <w:rPr>
          <w:rFonts w:ascii="PT Astra Serif" w:hAnsi="PT Astra Serif"/>
          <w:sz w:val="26"/>
          <w:szCs w:val="26"/>
        </w:rPr>
        <w:t>12. Организатор отбора в течение 10 рабочих дней с даты завершения приема заявок на участие в отборе: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проводит оценку эффективности указанных в заявке концессионных проектов в соответствии с </w:t>
      </w:r>
      <w:hyperlink w:anchor="P289" w:tooltip="КРИТЕРИИ" w:history="1">
        <w:r>
          <w:rPr>
            <w:rFonts w:ascii="PT Astra Serif" w:hAnsi="PT Astra Serif"/>
            <w:sz w:val="26"/>
            <w:szCs w:val="26"/>
          </w:rPr>
          <w:t>критериями</w:t>
        </w:r>
      </w:hyperlink>
      <w:r>
        <w:rPr>
          <w:rFonts w:ascii="PT Astra Serif" w:hAnsi="PT Astra Serif"/>
          <w:sz w:val="26"/>
          <w:szCs w:val="26"/>
        </w:rPr>
        <w:t xml:space="preserve"> согласно приложению № 2 к настоящему Порядку и рассчитывает рейтинг эффективности концессионных проектов (далее - Рейтинг);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формирует сводную заявку, включающую перечень концессионных проектов, ранжированную в соответствии с Рейтингом (далее - сводная заявка);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отношении каждого концессионного проекта, планируемого к реализации и включенного в сводную заявку, готовит заключение о технической целесообразности реализации такого концессионного проекта. Заключение о технической целесообразности реализации концессионного проекта, планируемого к реализации, должно содержать описание технологического процесса проводимых мероприятий, сравнительную характеристику технологических параметров системы коммунальной </w:t>
      </w:r>
      <w:r>
        <w:rPr>
          <w:rFonts w:ascii="PT Astra Serif" w:hAnsi="PT Astra Serif"/>
          <w:sz w:val="26"/>
          <w:szCs w:val="26"/>
        </w:rPr>
        <w:lastRenderedPageBreak/>
        <w:t>инфраструктуры, мероприятия по модернизации которой осуществляются в рамках концессионного проекта, отражающих показатели до реализации проекта и ожидаемых по завершении реализации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наличия в сводной заявке концессионных проектов, планируемых к реализации, направляет в Департамент тарифного регулирования Томской области сводную заявку с приложением документов, указанных в </w:t>
      </w:r>
      <w:hyperlink w:anchor="P94" w:tooltip="19. Муниципальные образования для участия в отборе прилагают к заявке в отношении планируемого к реализации концессионного проекта следующие документы:" w:history="1">
        <w:r>
          <w:rPr>
            <w:rFonts w:ascii="PT Astra Serif" w:hAnsi="PT Astra Serif"/>
            <w:sz w:val="26"/>
            <w:szCs w:val="26"/>
          </w:rPr>
          <w:t>пункте 19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и заключений о технической целесообразности реализации планируемых к реализации концессионных проектов.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66"/>
      <w:bookmarkEnd w:id="2"/>
      <w:r>
        <w:rPr>
          <w:rFonts w:ascii="PT Astra Serif" w:hAnsi="PT Astra Serif"/>
          <w:sz w:val="26"/>
          <w:szCs w:val="26"/>
        </w:rPr>
        <w:t>13. Департамент тарифного регулирования Томской области в течение 45 календарных дней со дня поступления сводной заявки в отношении концессионных проектов, указанных в сводной заявке и планируемых к реализации: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рассматривает представленные документы;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3" w:name="P68"/>
      <w:bookmarkEnd w:id="3"/>
      <w:r>
        <w:rPr>
          <w:rFonts w:ascii="PT Astra Serif" w:hAnsi="PT Astra Serif"/>
          <w:sz w:val="26"/>
          <w:szCs w:val="26"/>
        </w:rPr>
        <w:t>2) определяет в соответствии с законодательством, действующим в сфере тарифного регулирования: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долгосрочные параметры регулирования тарифов;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рост тарифа, ожидаемый при условии реализации концессионного проекта, по годам на весь срок действия концессионного соглашения, в рамках которого планируется реализация концессионного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величину необходимой валовой выручки, превышающей предельные (максимальные) индексы (прогнозные индексы) изменения размера вносимой гражданами платы за коммунальные услуги в муниципальном образовании (потребность в дополнительных финансовых средствах) по годам на весь срок действия концессионного соглашения, в рамках которого планируется реализация концессионного проекта.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если документы, представленные организатором отбора в Департамент тарифного регулирования Томской области в соответствии с </w:t>
      </w:r>
      <w:hyperlink w:anchor="P61" w:tooltip="12. Организатор отбора в течение 10 рабочих дней с даты завершения приема заявок на участие в отборе:" w:history="1">
        <w:r>
          <w:rPr>
            <w:rFonts w:ascii="PT Astra Serif" w:hAnsi="PT Astra Serif"/>
            <w:sz w:val="26"/>
            <w:szCs w:val="26"/>
          </w:rPr>
          <w:t>пунктом 12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представлены не в полном объеме, Департамент тарифного регулирования Томской области в течение 5 календарных дней возвращает документы организатору отбора без их рассмотрения с указанием оснований отказа в рассмотрении.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4" w:name="P73"/>
      <w:bookmarkEnd w:id="4"/>
      <w:r>
        <w:rPr>
          <w:rFonts w:ascii="PT Astra Serif" w:hAnsi="PT Astra Serif"/>
          <w:sz w:val="26"/>
          <w:szCs w:val="26"/>
        </w:rPr>
        <w:t xml:space="preserve">14. По истечении срока, указанного в </w:t>
      </w:r>
      <w:hyperlink w:anchor="P66" w:tooltip="13. Департамент тарифного регулирования Томской области в течение 45 календарных дней со дня поступления сводной заявки в отношении концессионных проектов, указанных в сводной заявке и планируемых к реализации:" w:history="1">
        <w:r>
          <w:rPr>
            <w:rFonts w:ascii="PT Astra Serif" w:hAnsi="PT Astra Serif"/>
            <w:sz w:val="26"/>
            <w:szCs w:val="26"/>
          </w:rPr>
          <w:t>абзаце первом пункта 13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Департамент тарифного регулирования Томской области в течение трех рабочих дней направляет организатору отбора заключение в письменном виде, содержащее показатели, указанные в </w:t>
      </w:r>
      <w:hyperlink w:anchor="P68" w:tooltip="2) определяет в соответствии с законодательством, действующим в сфере тарифного регулирования:" w:history="1">
        <w:r>
          <w:rPr>
            <w:rFonts w:ascii="PT Astra Serif" w:hAnsi="PT Astra Serif"/>
            <w:sz w:val="26"/>
            <w:szCs w:val="26"/>
          </w:rPr>
          <w:t>подпункте 2) пункта 13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в отношении каждого концессионного проекта, указанного в сводной заявке и планируемого к реализации. В заключении Департамента тарифного регулирования Томской области указываются: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сведения о ценах, значениях и параметрах, используемых для расчета дисконтированной выручки участника конкурса, а также о согласованном Департаментом тарифного регулирования Томской области методе регулирования тарифов (для проектов, планируемых к реализации в сфере теплоснабжения, водоснабжения и водоотведения);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о согласовании или отказе в согласовании (с обоснованием отказа) долгосрочных параметров концессионного соглашения, в рамках которого планируется реализация концессионного проекта (для проектов, планируемых к реализации в сфере теплоснабжения, водоснабжения и водоотведения);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значения долгосрочных параметров регулирования тарифов, включаемых в документацию на проведение конкурса по заключению концессионного соглашения, планируемого к реализации (для проектов, планируемых к реализации в сфере </w:t>
      </w:r>
      <w:r>
        <w:rPr>
          <w:rFonts w:ascii="PT Astra Serif" w:hAnsi="PT Astra Serif"/>
          <w:sz w:val="26"/>
          <w:szCs w:val="26"/>
        </w:rPr>
        <w:lastRenderedPageBreak/>
        <w:t>теплоснабжения, водоснабжения и водоотведения);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сведения о ценах, значениях и параметрах, используемых для расчета дисконтированной выручки участника конкурса, а также о согласованном органом регулирования методе регулирования тарифов (для проектов, планируемых к реализации в сфере теплоснабжения, водоснабжения и водоотведения);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сведения о сумме потребности в дополнительных финансовых средствах, необходимых на реализацию планируемого концессионного проекта.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5" w:name="P80"/>
      <w:bookmarkEnd w:id="5"/>
      <w:r>
        <w:rPr>
          <w:rFonts w:ascii="PT Astra Serif" w:hAnsi="PT Astra Serif"/>
          <w:sz w:val="26"/>
          <w:szCs w:val="26"/>
        </w:rPr>
        <w:t xml:space="preserve">15. Организатор отбора в течение одного рабочего дня с даты получения заключения от Департамента тарифного регулирования Томской области, указанного в </w:t>
      </w:r>
      <w:hyperlink w:anchor="P73" w:tooltip="14. По истечении срока, указанного в абзаце первом пункта 13 настоящего Порядка, Департамент тарифного регулирования Томской области в течение трех рабочих дней направляет организатору отбора заключение в письменном виде, содержащее показатели, указанные в под" w:history="1">
        <w:r>
          <w:rPr>
            <w:rFonts w:ascii="PT Astra Serif" w:hAnsi="PT Astra Serif"/>
            <w:sz w:val="26"/>
            <w:szCs w:val="26"/>
          </w:rPr>
          <w:t>пункте 14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а в случае отсутствия в сводной заявке концессионных проектов, планируемых к реализации, - с даты истечения срока, указанного в </w:t>
      </w:r>
      <w:hyperlink w:anchor="P61" w:tooltip="12. Организатор отбора в течение 10 рабочих дней с даты завершения приема заявок на участие в отборе:" w:history="1">
        <w:r>
          <w:rPr>
            <w:rFonts w:ascii="PT Astra Serif" w:hAnsi="PT Astra Serif"/>
            <w:sz w:val="26"/>
            <w:szCs w:val="26"/>
          </w:rPr>
          <w:t>пункте 12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но не позднее 5 рабочих дней до даты проведения заседания Комиссии, представляет членам Комиссии следующие документы: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сводную заявку;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заключение Департамента тарифного регулирования Томской области в отношении каждого концессионного проекта, указанного в сводной заявке и планируемого к реализации (предоставляется при наличии в сводной заявке концессионных проектов, планируемых к реализации);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расчет рейтинга эффективности для каждого концессионного проекта, указанного в сводной заявке, в соответствии с </w:t>
      </w:r>
      <w:hyperlink w:anchor="P289" w:tooltip="КРИТЕРИИ" w:history="1">
        <w:r>
          <w:rPr>
            <w:rFonts w:ascii="PT Astra Serif" w:hAnsi="PT Astra Serif"/>
            <w:sz w:val="26"/>
            <w:szCs w:val="26"/>
          </w:rPr>
          <w:t>критериями</w:t>
        </w:r>
      </w:hyperlink>
      <w:r>
        <w:rPr>
          <w:rFonts w:ascii="PT Astra Serif" w:hAnsi="PT Astra Serif"/>
          <w:sz w:val="26"/>
          <w:szCs w:val="26"/>
        </w:rPr>
        <w:t xml:space="preserve"> согласно приложению № 2 к настоящему Порядку;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документальные подтверждения возможности финансирования концессионного проекта из федерального бюджета и внебюджетных источников (при наличии).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16. Организатор отбора проводит заседание Комиссии в течение 10 рабочих дней со дня направления членам Комиссии документов, указанных в </w:t>
      </w:r>
      <w:hyperlink w:anchor="P80" w:tooltip="15. Организатор отбора в течение одного рабочего дня с даты получения заключения от Департамента тарифного регулирования Томской области, указанного в пункте 14 настоящего Порядка, а в случае отсутствия в сводной заявке концессионных проектов, планируемых к ре" w:history="1">
        <w:r>
          <w:rPr>
            <w:rFonts w:ascii="PT Astra Serif" w:hAnsi="PT Astra Serif"/>
            <w:sz w:val="26"/>
            <w:szCs w:val="26"/>
          </w:rPr>
          <w:t>пункте 15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17. Итоги отбора утверждаются </w:t>
      </w:r>
      <w:hyperlink w:anchor="P393" w:tooltip="Решение конкурсной комиссии о предоставлении муниципальным" w:history="1">
        <w:r>
          <w:rPr>
            <w:rFonts w:ascii="PT Astra Serif" w:hAnsi="PT Astra Serif"/>
            <w:sz w:val="26"/>
            <w:szCs w:val="26"/>
          </w:rPr>
          <w:t>решением</w:t>
        </w:r>
      </w:hyperlink>
      <w:r>
        <w:rPr>
          <w:rFonts w:ascii="PT Astra Serif" w:hAnsi="PT Astra Serif"/>
          <w:sz w:val="26"/>
          <w:szCs w:val="26"/>
        </w:rPr>
        <w:t xml:space="preserve"> Комиссии по форме согласно приложению № 3 к настоящему Порядку.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 Перечень документов, предоставляемых муниципальными</w:t>
      </w: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образованиями, для участия в отборе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6" w:name="P91"/>
      <w:bookmarkEnd w:id="6"/>
      <w:r>
        <w:rPr>
          <w:rFonts w:ascii="PT Astra Serif" w:hAnsi="PT Astra Serif"/>
          <w:sz w:val="26"/>
          <w:szCs w:val="26"/>
        </w:rPr>
        <w:t>18. Муниципальные образования для участия в отборе прилагают к заявке в отношении реализуемого концессионного проекта следующие документы: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копию концессионного соглашения, заключенного для реализации концессионного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информацию о размере бюджетных средств, предусмотренных в бюджете муниципального образования (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>) на реализацию концессионного проекта на текущий финансовый год, и размере бюджетных средств, планируемых муниципальным образованием (</w:t>
      </w:r>
      <w:proofErr w:type="spellStart"/>
      <w:r>
        <w:rPr>
          <w:rFonts w:ascii="PT Astra Serif" w:hAnsi="PT Astra Serif"/>
          <w:sz w:val="26"/>
          <w:szCs w:val="26"/>
        </w:rPr>
        <w:t>концедентом</w:t>
      </w:r>
      <w:proofErr w:type="spellEnd"/>
      <w:r>
        <w:rPr>
          <w:rFonts w:ascii="PT Astra Serif" w:hAnsi="PT Astra Serif"/>
          <w:sz w:val="26"/>
          <w:szCs w:val="26"/>
        </w:rPr>
        <w:t>) на последующие годы реализации концессионного проекта (выписку из бюджета муниципального образования).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7" w:name="P94"/>
      <w:bookmarkEnd w:id="7"/>
      <w:r>
        <w:rPr>
          <w:rFonts w:ascii="PT Astra Serif" w:hAnsi="PT Astra Serif"/>
          <w:sz w:val="26"/>
          <w:szCs w:val="26"/>
        </w:rPr>
        <w:t>19. Муниципальные образования для участия в отборе прилагают к заявке в отношении планируемого к реализации концессионного проекта следующие документы: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заявление муниципального образования, составленное в произвольной форме, содержащее информацию в соответствии: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 пунктами 60 - 62 и (или) 67(1) - 67(4) Правил регулирования тарифов в сфере </w:t>
      </w:r>
      <w:r>
        <w:rPr>
          <w:rFonts w:ascii="PT Astra Serif" w:hAnsi="PT Astra Serif"/>
          <w:sz w:val="26"/>
          <w:szCs w:val="26"/>
        </w:rPr>
        <w:lastRenderedPageBreak/>
        <w:t xml:space="preserve">водоснабжения и водоотведения, утвержденных Постановлением Правительства Российской Федерации от 13.05.2013 № 406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 государственном регулировании тарифов в сфере водоснабжения и водоотведения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, в случае, если объектами концессионного соглашения являются объекты холодного водоснабжения и (или) водоотведения, отдельные объекты таких систем;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 пунктами 90 - 91 и (или) 96(2) - 96(4) Правил регулирования тарифов в сфере теплоснабжения, утвержденных Постановлением Правительства Российской Федерации от 22.10.2012 № 1075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 ценообразовании в сфере теплоснабжения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, в случае, если объектами концессионного соглашения являются объекты теплоснабжения, централизованные системы горячего водоснабжения, отдельные объекты таких систем;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 Правилами государственного регулирования (пересмотра, применения) цен (тарифов) в электроэнергетике, утвержденными Постановлением Правительства Российской Федерации от 29.12.2011 № 1178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 ценообразовании в области регулируемых цен (тарифов) в электроэнергетике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, в случае, если объектами концессионного соглашения являются объекты по производству, передаче и распределению электрической энергии;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подготовленные в соответствии с Приказом Минстроя России от 21.08.2015 № 606/</w:t>
      </w:r>
      <w:proofErr w:type="spellStart"/>
      <w:r>
        <w:rPr>
          <w:rFonts w:ascii="PT Astra Serif" w:hAnsi="PT Astra Serif"/>
          <w:sz w:val="26"/>
          <w:szCs w:val="26"/>
        </w:rPr>
        <w:t>пр</w:t>
      </w:r>
      <w:proofErr w:type="spellEnd"/>
      <w:r>
        <w:rPr>
          <w:rFonts w:ascii="PT Astra Serif" w:hAnsi="PT Astra Serif"/>
          <w:sz w:val="26"/>
          <w:szCs w:val="26"/>
        </w:rPr>
        <w:t xml:space="preserve">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 xml:space="preserve">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>
        <w:rPr>
          <w:rFonts w:ascii="PT Astra Serif" w:hAnsi="PT Astra Serif"/>
          <w:sz w:val="26"/>
          <w:szCs w:val="26"/>
        </w:rPr>
        <w:t>теплопотребляющих</w:t>
      </w:r>
      <w:proofErr w:type="spellEnd"/>
      <w:r>
        <w:rPr>
          <w:rFonts w:ascii="PT Astra Serif" w:hAnsi="PT Astra Serif"/>
          <w:sz w:val="26"/>
          <w:szCs w:val="26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 xml:space="preserve"> (в случае, если объектами концессионного соглашения являются объекты теплоснабжения, централизованные системы горячего водоснабжения, отдельные объекты таких систем), Приказом Минстроя России от 05.08.2014 № 437/</w:t>
      </w:r>
      <w:proofErr w:type="spellStart"/>
      <w:r>
        <w:rPr>
          <w:rFonts w:ascii="PT Astra Serif" w:hAnsi="PT Astra Serif"/>
          <w:sz w:val="26"/>
          <w:szCs w:val="26"/>
        </w:rPr>
        <w:t>пр</w:t>
      </w:r>
      <w:proofErr w:type="spellEnd"/>
      <w:r>
        <w:rPr>
          <w:rFonts w:ascii="PT Astra Serif" w:hAnsi="PT Astra Serif"/>
          <w:sz w:val="26"/>
          <w:szCs w:val="26"/>
        </w:rPr>
        <w:t xml:space="preserve">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Об утверждении Требований к проведению технического обследования централизованных систем горячего водоснабжения, холодного водоснабжения и (или) водоотведения, в том числе определение показателей технико-экономического состояния систем водоснабжения и водоотведения, включая показатели физического износа и энергетической эффективности объектов централизованных систем горячего водоснабжения, холодного водоснабжения и (или) водоотведения, объектов нецентрализованных систем холодного и горячего водоснабжения, и порядка осуществления мониторинга таких показателей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 xml:space="preserve"> (в случае, если объектами концессионного соглашения являются объекты холодного водоснабжения и (или) водоотведения, отдельные объекты таких систем) отчеты о техническом обследовании планируемого к передаче </w:t>
      </w:r>
      <w:proofErr w:type="spellStart"/>
      <w:r>
        <w:rPr>
          <w:rFonts w:ascii="PT Astra Serif" w:hAnsi="PT Astra Serif"/>
          <w:sz w:val="26"/>
          <w:szCs w:val="26"/>
        </w:rPr>
        <w:t>концедентом</w:t>
      </w:r>
      <w:proofErr w:type="spellEnd"/>
      <w:r>
        <w:rPr>
          <w:rFonts w:ascii="PT Astra Serif" w:hAnsi="PT Astra Serif"/>
          <w:sz w:val="26"/>
          <w:szCs w:val="26"/>
        </w:rPr>
        <w:t xml:space="preserve"> концессионеру имущества;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состав и описание незарегистрированного недвижимого муниципального имущества, передаваемого в составе объекта концессионного соглашения, в том числе копии документов, подтверждающих факт и (или) обстоятельства возникновения у 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 xml:space="preserve"> права владения и (или) пользования данным незарегистрированным недвижимым имуществом.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Перечень документов, подтверждающих факт и обстоятельства возникновения у 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 xml:space="preserve"> прав на незарегистрированное недвижимое имущество, а также документов, подтверждающих факт и обстоятельства возникновения у государственного или муниципального унитарного предприятия, государственного </w:t>
      </w:r>
      <w:r>
        <w:rPr>
          <w:rFonts w:ascii="PT Astra Serif" w:hAnsi="PT Astra Serif"/>
          <w:sz w:val="26"/>
          <w:szCs w:val="26"/>
        </w:rPr>
        <w:lastRenderedPageBreak/>
        <w:t xml:space="preserve">или муниципального бюджетного или автономного учреждения, учредителем которых является </w:t>
      </w:r>
      <w:proofErr w:type="spellStart"/>
      <w:r>
        <w:rPr>
          <w:rFonts w:ascii="PT Astra Serif" w:hAnsi="PT Astra Serif"/>
          <w:sz w:val="26"/>
          <w:szCs w:val="26"/>
        </w:rPr>
        <w:t>концедент</w:t>
      </w:r>
      <w:proofErr w:type="spellEnd"/>
      <w:r>
        <w:rPr>
          <w:rFonts w:ascii="PT Astra Serif" w:hAnsi="PT Astra Serif"/>
          <w:sz w:val="26"/>
          <w:szCs w:val="26"/>
        </w:rPr>
        <w:t>, прав владения и (или) пользования данным незарегистрированным недвижимым имуществом, определяется в соответствии с Распоряжением Правительства Российской Федерации от 26.04.2017 № 794-р;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4) утвержденную схему теплоснабжения или проект актуализированной схемы теплоснабжения, учитывающий мероприятия, планируемые к реализации в рамках концессионного проекта, в случае, если объектом концессионного соглашения является имущество систем теплоснабжения, подготовленные в соответствии с Постановлением Правительства Российской Федерации от 22.02.2012 № 154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 требованиях к схемам теплоснабжения, порядку их разработки и утверждения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утвержденную схему водоснабжения и водоотведения или проект актуализированной схемы водоснабжения и водоотведения, учитывающий мероприятия, планируемые к реализации в рамках концессионного проекта, в случае, если объектом концессионного соглашения является имущество систем водоснабжения и водоотведения, подготовленные в соответствии с Постановлением Правительства Российской Федерации от 05.09.2013 № 782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О схемах водоснабжения и водоотведения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5) информацию о земельных участках, на которых планируется размещение объектов концессионного соглашения и (или) которые необходимы для осуществления концессионером деятельности, предусмотренной проектом концессионного соглашения;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6) перечень мероприятий проекта модернизации, планируемых к реализации в рамках концессионного проекта, с указанием их стоимости (прогнозной стоимости) и технических характеристик с разбивкой по периодам (годам) реализации;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7) пояснительную записку с обоснованием целесообразности реализации концессионного проекта с указанием информации: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 технико-экономических показателях объектов концессионного соглашения, в том числе объектов, строительство и (или) реконструкция которых планируется в период реализации концессионного соглашения, и иных объектов, передаваемых в составе имущества по концессионному соглашению;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об оценке влияния мероприятий проекта модернизации на изменение технических характеристик объектов концессионного соглашения;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8) информацию о планируемом сроке действия концессионного соглашения, в рамках которого планируется реализация концессионного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9) финансовую модель, описывающую концессионный проект, рассчитанную на срок действия концессионного соглашения.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Финансовая модель должна содержать основные характеристики инвестиционной и производственной программы концессионера (в том числе объемы производства в натуральном и стоимостном выражении, объемы и цены реализации, объемы инвестиций в основной капитал, объемы привлеченных заемных средств и график их погашения), а также предусматривать полный расчет эксплуатационных расходов на весь период реализации проекта (расчет эксплуатационных расходов должен производиться в соответствии с требованиями законодательства по порядку их формирования в соответствии со сферой деятельности).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Финансовая модель должна обладать достаточной степенью детализации, то есть содержать разбивки по основным видам продукции, производственным единицам, периодам, статьям доходов и расходов.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Финансовая модель должна предоставлять информацию в интегрированном </w:t>
      </w:r>
      <w:r>
        <w:rPr>
          <w:rFonts w:ascii="PT Astra Serif" w:hAnsi="PT Astra Serif"/>
          <w:sz w:val="26"/>
          <w:szCs w:val="26"/>
        </w:rPr>
        <w:lastRenderedPageBreak/>
        <w:t>виде.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Все расчеты и прогнозы в финансовой модели должны быть осуществлены в номинальных ценах с учетом индексов-дефляторов, рассчитанных по прогнозу Министерства экономического развития Российской Федерации: дефлятору капитальных вложений, дефлятору ВВП и индексу потребительских цен.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Представленные расчеты должны подтверждать финансовую способность концессионера реализовать концессионный проект, эффективно осуществлять эксплуатацию объекта проекта в период действия концессионного соглашения.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Результатом представленной финансовой модели концессионного проекта является расчет показателей, требующихся для оценки финансовой эффективности концессионного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10) расчет тарифных последствий;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11) информацию о размере предельного (максимального) индекса платы граждан за коммунальные услуги соответствующего муниципального образования с учетом реализации концессионного проекта.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случае если размер предельного (максимального) индекса платы граждан за коммунальные услуги соответствующего муниципального образования с учетом реализации концессионного проекта выше утвержденных предельных (максимальных) индексов изменения размера вносимой гражданами платы за коммунальные услуги в соответствующем муниципальном образовании на соответствующий период, предоставляется решение представительного органа власти соответствующего муниципального образования об обращении в адрес руководителя высшего исполнительного органа государственной власти субъекта о согласовании установления предельного индекса для соответствующего муниципального образования в размере, превышающем индекс по субъекту Российской Федерации более чем на величину отклонения по субъекту Российской Федерации;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12) документы на имущество, передаваемое в составе объектов концессионного соглашения: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надлежащим образом заверенные копии документов, подтверждающих право собственности муниципального образования на объекты недвижимого имущества, передаваемые в составе объектов концессионного соглашения;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надлежащим образом заверенные копии технических паспортов на объекты недвижимого имущества, передаваемые в составе объектов концессионного соглашения;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амортизационную ведомость по объектам, передаваемым в составе объектов концессионного соглашения, с указанием по каждому объекту первоначальной стоимости объекта, срока ввода объекта в эксплуатацию, срока полезного использования, суммы учтенной амортизации, остаточной стоимости объекта на дату предоставления информации;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бухгалтерские регистры, подтверждающие сумму амортизационных отчислений за последний отчетный период;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инвентарные карточки по объектам, передаваемым в составе объектов концессионного соглашения, в соответствии с унифицированной формой № ОС-6;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13) информацию о размере расходного обязательства муниципального образования на реализацию концессионного проекта на текущий финансовый год и размере расходного обязательства муниципального образования на последующие годы реализации концессионного проекта;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14) проект концессионного соглашения.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 Методика расчета субсидии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20. Общий размер Субсидии (в рублях) на текущий финансовый год определяется по следующей формуле: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30B45C18" wp14:editId="123DD798">
                <wp:extent cx="1341568" cy="328108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3175898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341568" cy="328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05.64pt;height:25.84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i - муниципальное образование Томской области;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Sмо</w:t>
      </w:r>
      <w:r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hAnsi="PT Astra Serif"/>
          <w:sz w:val="26"/>
          <w:szCs w:val="26"/>
        </w:rPr>
        <w:t xml:space="preserve"> - общий размер платы </w:t>
      </w:r>
      <w:proofErr w:type="spellStart"/>
      <w:r>
        <w:rPr>
          <w:rFonts w:ascii="PT Astra Serif" w:hAnsi="PT Astra Serif"/>
          <w:sz w:val="26"/>
          <w:szCs w:val="26"/>
        </w:rPr>
        <w:t>концедента</w:t>
      </w:r>
      <w:proofErr w:type="spellEnd"/>
      <w:r>
        <w:rPr>
          <w:rFonts w:ascii="PT Astra Serif" w:hAnsi="PT Astra Serif"/>
          <w:sz w:val="26"/>
          <w:szCs w:val="26"/>
        </w:rPr>
        <w:t xml:space="preserve"> (в рублях) на текущий финансовый год i-</w:t>
      </w:r>
      <w:proofErr w:type="spellStart"/>
      <w:r>
        <w:rPr>
          <w:rFonts w:ascii="PT Astra Serif" w:hAnsi="PT Astra Serif"/>
          <w:sz w:val="26"/>
          <w:szCs w:val="26"/>
        </w:rPr>
        <w:t>го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образования, определенный в соответствии с утвержденным решением Комиссии;</w:t>
      </w:r>
    </w:p>
    <w:p w:rsidR="001F3102" w:rsidRPr="003D3CFD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3D3CFD">
        <w:rPr>
          <w:rFonts w:ascii="PT Astra Serif" w:hAnsi="PT Astra Serif"/>
          <w:sz w:val="26"/>
          <w:szCs w:val="26"/>
        </w:rPr>
        <w:t>С</w:t>
      </w:r>
      <w:r w:rsidRPr="003D3CFD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- предельный уровень </w:t>
      </w:r>
      <w:proofErr w:type="spellStart"/>
      <w:r w:rsidRPr="003D3CF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 w:rsidRPr="003D3CFD">
        <w:rPr>
          <w:rFonts w:ascii="PT Astra Serif" w:hAnsi="PT Astra Serif"/>
          <w:sz w:val="26"/>
          <w:szCs w:val="26"/>
        </w:rPr>
        <w:t>го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муниципального образования, в целях </w:t>
      </w:r>
      <w:proofErr w:type="spellStart"/>
      <w:r w:rsidRPr="003D3CF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которого предоставляется Субсидия.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D3CFD">
        <w:rPr>
          <w:rFonts w:ascii="PT Astra Serif" w:hAnsi="PT Astra Serif"/>
          <w:sz w:val="26"/>
          <w:szCs w:val="26"/>
        </w:rPr>
        <w:t xml:space="preserve">Предельный уровень </w:t>
      </w:r>
      <w:proofErr w:type="spellStart"/>
      <w:r w:rsidRPr="003D3CF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 w:rsidRPr="003D3CFD">
        <w:rPr>
          <w:rFonts w:ascii="PT Astra Serif" w:hAnsi="PT Astra Serif"/>
          <w:sz w:val="26"/>
          <w:szCs w:val="26"/>
        </w:rPr>
        <w:t>го</w:t>
      </w:r>
      <w:proofErr w:type="spellEnd"/>
      <w:r w:rsidRPr="003D3CFD">
        <w:rPr>
          <w:rFonts w:ascii="PT Astra Serif" w:hAnsi="PT Astra Serif"/>
          <w:sz w:val="26"/>
          <w:szCs w:val="26"/>
        </w:rPr>
        <w:t xml:space="preserve"> муниципального образования, в целях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которого предоставляется Субсидия (</w:t>
      </w:r>
      <w:proofErr w:type="spellStart"/>
      <w:r>
        <w:rPr>
          <w:rFonts w:ascii="PT Astra Serif" w:hAnsi="PT Astra Serif"/>
          <w:sz w:val="26"/>
          <w:szCs w:val="26"/>
        </w:rPr>
        <w:t>С</w:t>
      </w:r>
      <w:r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hAnsi="PT Astra Serif"/>
          <w:sz w:val="26"/>
          <w:szCs w:val="26"/>
        </w:rPr>
        <w:t>), устанавливается в зависимости от значения отношения уровня бюджетной обеспеченности муниципального образования после распределения дотаций на выравнивание бюджетной обеспеченности из областного фонда финансовой поддержки муниципальных районов (городских округов) к максимальному уровню бюджетной обеспеченности по Томской области (далее - Отношение УБО) и составляет: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30% для муниципальных образований, значение Отношения УБО для которых равно 1,000, за исключением случая, предусмотренного абзацем восьмым настоящего пункта;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85% для муниципальных образований, значение Отношения УБО для которых больше 0,940 и меньше 1,000;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90% для муниципальных образований, значение Отношения УБО для которых больше 0,928 и меньше 0,940;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95% для муниципальных образований, значение Отношения УБО для которых меньше или равно 0,928.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реализации концессионного проекта с целью создания объектов, включенных в план-график синхронизации выполнения программ газификации регионов Российской Федерации с ПАО </w:t>
      </w:r>
      <w:r w:rsidR="00526AB3">
        <w:rPr>
          <w:rFonts w:ascii="PT Astra Serif" w:hAnsi="PT Astra Serif"/>
          <w:sz w:val="26"/>
          <w:szCs w:val="26"/>
        </w:rPr>
        <w:t>«</w:t>
      </w:r>
      <w:r>
        <w:rPr>
          <w:rFonts w:ascii="PT Astra Serif" w:hAnsi="PT Astra Serif"/>
          <w:sz w:val="26"/>
          <w:szCs w:val="26"/>
        </w:rPr>
        <w:t>Газпром</w:t>
      </w:r>
      <w:r w:rsidR="00526AB3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 xml:space="preserve">, предельный уровень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>
        <w:rPr>
          <w:rFonts w:ascii="PT Astra Serif" w:hAnsi="PT Astra Serif"/>
          <w:sz w:val="26"/>
          <w:szCs w:val="26"/>
        </w:rPr>
        <w:t>го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которого предоставляется Субсидия (</w:t>
      </w:r>
      <w:proofErr w:type="spellStart"/>
      <w:r>
        <w:rPr>
          <w:rFonts w:ascii="PT Astra Serif" w:hAnsi="PT Astra Serif"/>
          <w:sz w:val="26"/>
          <w:szCs w:val="26"/>
        </w:rPr>
        <w:t>С</w:t>
      </w:r>
      <w:r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hAnsi="PT Astra Serif"/>
          <w:sz w:val="26"/>
          <w:szCs w:val="26"/>
        </w:rPr>
        <w:t>), устанавливается равным 99%.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Источником финансового обеспечения Субсидии могут являться средства государственной корпорации - Фонда содействия реформированию жилищно-коммунального хозяйства (далее - Фонд) и средства областного бюджета, предусмотренные для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средств Фонда.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21. Внесение изменений в распределение объемов Субсидий между муниципальными образованиями в пределах общего объема Субсидии путем внесения изменений в бюджетную роспись главного распорядителя бюджетных средств без внесения изменений в закон об областном бюджете на текущий финансовый год и плановый период осуществляется в случае изменения исходных показателей, используемых для расчета объема Субсидии.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22. В случае если муниципальным образованием Томской области по состоянию на 31 декабря года предоставления Субсидии и в срок до первой даты представления отчетности о достижении значения показателя результата в году, следующем за годом предоставления Субсидии, допущены нарушения обязательств, предусмотренных Соглашением, объем средств, подлежащих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V возврата = (V субсидии x k) x 0,1, где: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V возврата - объем средств, подлежащих возврату в областной бюджет;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V субсидии - размер Субсидии, предоставленной получателю Субсидии в отчетном финансовом году;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k = 1 - T / S, где: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Ti</w:t>
      </w:r>
      <w:proofErr w:type="spellEnd"/>
      <w:r>
        <w:rPr>
          <w:rFonts w:ascii="PT Astra Serif" w:hAnsi="PT Astra Serif"/>
          <w:sz w:val="26"/>
          <w:szCs w:val="26"/>
        </w:rPr>
        <w:t xml:space="preserve"> - фактически достигнутое значение показателя результата на отчетную дату;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Si</w:t>
      </w:r>
      <w:proofErr w:type="spellEnd"/>
      <w:r>
        <w:rPr>
          <w:rFonts w:ascii="PT Astra Serif" w:hAnsi="PT Astra Serif"/>
          <w:sz w:val="26"/>
          <w:szCs w:val="26"/>
        </w:rPr>
        <w:t xml:space="preserve"> - плановое значение показателя результата, установленное Соглашением.</w:t>
      </w: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 расчете объема средств, подлежащих возврату в областной бюджет, используется только положительное значение коэффициента возврата Субсидии.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1F3102">
      <w:pPr>
        <w:pStyle w:val="ConsPlusNormal"/>
        <w:jc w:val="right"/>
        <w:outlineLvl w:val="0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right"/>
        <w:outlineLvl w:val="0"/>
        <w:rPr>
          <w:rFonts w:ascii="PT Astra Serif" w:hAnsi="PT Astra Serif"/>
          <w:szCs w:val="24"/>
        </w:rPr>
        <w:sectPr w:rsidR="001F3102" w:rsidSect="003B4D88">
          <w:headerReference w:type="default" r:id="rId9"/>
          <w:headerReference w:type="first" r:id="rId10"/>
          <w:pgSz w:w="11906" w:h="16838"/>
          <w:pgMar w:top="1134" w:right="1134" w:bottom="1134" w:left="1134" w:header="709" w:footer="0" w:gutter="0"/>
          <w:pgNumType w:start="378"/>
          <w:cols w:space="720"/>
          <w:titlePg/>
          <w:docGrid w:linePitch="360"/>
        </w:sectPr>
      </w:pPr>
    </w:p>
    <w:p w:rsidR="001F3102" w:rsidRDefault="003D3CFD">
      <w:pPr>
        <w:pStyle w:val="ConsPlusNormal"/>
        <w:jc w:val="right"/>
        <w:outlineLvl w:val="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Приложение № 1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к Порядку предоставления и распределения субсидий из областного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бюджета бюджетам муниципальных образований Томской области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на </w:t>
      </w:r>
      <w:proofErr w:type="spellStart"/>
      <w:r>
        <w:rPr>
          <w:rFonts w:ascii="PT Astra Serif" w:hAnsi="PT Astra Serif"/>
          <w:szCs w:val="24"/>
        </w:rPr>
        <w:t>софинансирование</w:t>
      </w:r>
      <w:proofErr w:type="spellEnd"/>
      <w:r>
        <w:rPr>
          <w:rFonts w:ascii="PT Astra Serif" w:hAnsi="PT Astra Serif"/>
          <w:szCs w:val="24"/>
        </w:rPr>
        <w:t xml:space="preserve"> платы </w:t>
      </w:r>
      <w:proofErr w:type="spellStart"/>
      <w:r>
        <w:rPr>
          <w:rFonts w:ascii="PT Astra Serif" w:hAnsi="PT Astra Serif"/>
          <w:szCs w:val="24"/>
        </w:rPr>
        <w:t>концедента</w:t>
      </w:r>
      <w:proofErr w:type="spellEnd"/>
      <w:r>
        <w:rPr>
          <w:rFonts w:ascii="PT Astra Serif" w:hAnsi="PT Astra Serif"/>
          <w:szCs w:val="24"/>
        </w:rPr>
        <w:t xml:space="preserve"> по концессионным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соглашениям в отношении объектов систем теплоснабжения,</w:t>
      </w:r>
    </w:p>
    <w:p w:rsidR="001F3102" w:rsidRDefault="003D3CFD" w:rsidP="006A49E5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водоснабжения и водоотведения, электроснабжения</w:t>
      </w:r>
    </w:p>
    <w:p w:rsidR="001F3102" w:rsidRDefault="003D3CFD" w:rsidP="006A49E5">
      <w:pPr>
        <w:pStyle w:val="ConsPlusNormal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Форма</w:t>
      </w: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bookmarkStart w:id="8" w:name="P179"/>
      <w:bookmarkEnd w:id="8"/>
      <w:r>
        <w:rPr>
          <w:rFonts w:ascii="PT Astra Serif" w:hAnsi="PT Astra Serif"/>
          <w:szCs w:val="24"/>
        </w:rPr>
        <w:t>Заявка</w:t>
      </w: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на предоставление муниципальному образованию Томской области</w:t>
      </w: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финансовой поддержки из областного бюджета на </w:t>
      </w:r>
      <w:proofErr w:type="spellStart"/>
      <w:r>
        <w:rPr>
          <w:rFonts w:ascii="PT Astra Serif" w:hAnsi="PT Astra Serif"/>
          <w:szCs w:val="24"/>
        </w:rPr>
        <w:t>софинансирование</w:t>
      </w:r>
      <w:proofErr w:type="spellEnd"/>
      <w:r>
        <w:rPr>
          <w:rFonts w:ascii="PT Astra Serif" w:hAnsi="PT Astra Serif"/>
          <w:szCs w:val="24"/>
        </w:rPr>
        <w:t xml:space="preserve"> платы </w:t>
      </w:r>
      <w:proofErr w:type="spellStart"/>
      <w:r>
        <w:rPr>
          <w:rFonts w:ascii="PT Astra Serif" w:hAnsi="PT Astra Serif"/>
          <w:szCs w:val="24"/>
        </w:rPr>
        <w:t>концедента</w:t>
      </w:r>
      <w:proofErr w:type="spellEnd"/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7"/>
        <w:gridCol w:w="613"/>
        <w:gridCol w:w="906"/>
        <w:gridCol w:w="1059"/>
        <w:gridCol w:w="1662"/>
        <w:gridCol w:w="731"/>
        <w:gridCol w:w="967"/>
        <w:gridCol w:w="967"/>
        <w:gridCol w:w="928"/>
        <w:gridCol w:w="899"/>
        <w:gridCol w:w="711"/>
        <w:gridCol w:w="691"/>
        <w:gridCol w:w="756"/>
        <w:gridCol w:w="756"/>
        <w:gridCol w:w="755"/>
        <w:gridCol w:w="550"/>
        <w:gridCol w:w="665"/>
        <w:gridCol w:w="580"/>
        <w:gridCol w:w="665"/>
      </w:tblGrid>
      <w:tr w:rsidR="001F3102" w:rsidRPr="006A49E5" w:rsidTr="005633BC">
        <w:trPr>
          <w:trHeight w:val="20"/>
        </w:trPr>
        <w:tc>
          <w:tcPr>
            <w:tcW w:w="967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Наименование концессионного проекта</w:t>
            </w:r>
          </w:p>
        </w:tc>
        <w:tc>
          <w:tcPr>
            <w:tcW w:w="613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Муниципа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льное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обра</w:t>
            </w:r>
            <w:proofErr w:type="spellEnd"/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зова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906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Рейтинг эффективности концессионного проекта</w:t>
            </w:r>
          </w:p>
        </w:tc>
        <w:tc>
          <w:tcPr>
            <w:tcW w:w="1059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Объекты концессионного проекта (теплоснабжение, ГВС, ХВС, водоотведение)</w:t>
            </w:r>
          </w:p>
        </w:tc>
        <w:tc>
          <w:tcPr>
            <w:tcW w:w="1662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Направление проекта модернизации (строительство, реконструкция, техническое перевооружение, капитальный ремонт), реализуемого в рамках концессионного проекта</w:t>
            </w:r>
          </w:p>
        </w:tc>
        <w:tc>
          <w:tcPr>
            <w:tcW w:w="731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Стои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мость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меро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прия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тий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концессион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ного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проекта</w:t>
            </w:r>
          </w:p>
        </w:tc>
        <w:tc>
          <w:tcPr>
            <w:tcW w:w="967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Наличие достоверности сметной стоимости на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мероприя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тия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концессионного проекта (да, нет)</w:t>
            </w:r>
          </w:p>
        </w:tc>
        <w:tc>
          <w:tcPr>
            <w:tcW w:w="967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Срок реализации концессионного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соглаше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928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Концессионная плата (при наличии)</w:t>
            </w:r>
          </w:p>
        </w:tc>
        <w:tc>
          <w:tcPr>
            <w:tcW w:w="899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Предлагаемый метод регулирования тарифов</w:t>
            </w:r>
          </w:p>
        </w:tc>
        <w:tc>
          <w:tcPr>
            <w:tcW w:w="6129" w:type="dxa"/>
            <w:gridSpan w:val="9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Финансовая потребность на реализацию концессионного проекта по годам и по источникам финансирования</w:t>
            </w: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год реализации проекта</w:t>
            </w:r>
          </w:p>
        </w:tc>
        <w:tc>
          <w:tcPr>
            <w:tcW w:w="691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средства концессио</w:t>
            </w:r>
            <w:r w:rsidR="00C5399B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нера (внебюджетные источники)</w:t>
            </w:r>
          </w:p>
        </w:tc>
        <w:tc>
          <w:tcPr>
            <w:tcW w:w="756" w:type="dxa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всего размер платы конце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дента</w:t>
            </w:r>
            <w:proofErr w:type="spellEnd"/>
          </w:p>
        </w:tc>
        <w:tc>
          <w:tcPr>
            <w:tcW w:w="1511" w:type="dxa"/>
            <w:gridSpan w:val="2"/>
            <w:vMerge w:val="restart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в том числе обеспеченной из:</w:t>
            </w:r>
          </w:p>
        </w:tc>
        <w:tc>
          <w:tcPr>
            <w:tcW w:w="2460" w:type="dxa"/>
            <w:gridSpan w:val="4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расходы, принимаемые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концедентом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, в том числе:</w:t>
            </w: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на создание и (или) реконструкцию объекта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концессион</w:t>
            </w:r>
            <w:r w:rsidR="003B4D88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ного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соглашения</w:t>
            </w:r>
          </w:p>
        </w:tc>
        <w:tc>
          <w:tcPr>
            <w:tcW w:w="1245" w:type="dxa"/>
            <w:gridSpan w:val="2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на использование (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эксплуата</w:t>
            </w:r>
            <w:r w:rsidR="003B4D88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цию</w:t>
            </w:r>
            <w:proofErr w:type="spellEnd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) объекта концессионного соглашения</w:t>
            </w: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6A49E5" w:rsidRPr="006A49E5" w:rsidRDefault="003D3CFD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местный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proofErr w:type="spellEnd"/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</w:p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  <w:tc>
          <w:tcPr>
            <w:tcW w:w="755" w:type="dxa"/>
            <w:vAlign w:val="center"/>
          </w:tcPr>
          <w:p w:rsidR="006A49E5" w:rsidRPr="006A49E5" w:rsidRDefault="003D3CFD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областной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proofErr w:type="spellEnd"/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</w:p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  <w:tc>
          <w:tcPr>
            <w:tcW w:w="550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местный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  <w:tc>
          <w:tcPr>
            <w:tcW w:w="665" w:type="dxa"/>
            <w:vAlign w:val="center"/>
          </w:tcPr>
          <w:p w:rsidR="006A49E5" w:rsidRPr="006A49E5" w:rsidRDefault="003D3CFD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областной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proofErr w:type="spellEnd"/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</w:p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  <w:tc>
          <w:tcPr>
            <w:tcW w:w="580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местный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  <w:tc>
          <w:tcPr>
            <w:tcW w:w="665" w:type="dxa"/>
            <w:vAlign w:val="center"/>
          </w:tcPr>
          <w:p w:rsidR="006A49E5" w:rsidRPr="006A49E5" w:rsidRDefault="003D3CFD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областной </w:t>
            </w: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бюд</w:t>
            </w:r>
            <w:proofErr w:type="spellEnd"/>
            <w:r w:rsidR="00DC382D">
              <w:rPr>
                <w:rFonts w:ascii="PT Astra Serif" w:eastAsia="PT Astra Serif" w:hAnsi="PT Astra Serif" w:cs="PT Astra Serif"/>
                <w:sz w:val="18"/>
                <w:szCs w:val="18"/>
              </w:rPr>
              <w:t>-</w:t>
            </w:r>
          </w:p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proofErr w:type="spellStart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жет</w:t>
            </w:r>
            <w:proofErr w:type="spellEnd"/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</w:t>
            </w:r>
          </w:p>
        </w:tc>
        <w:tc>
          <w:tcPr>
            <w:tcW w:w="613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2</w:t>
            </w:r>
          </w:p>
        </w:tc>
        <w:tc>
          <w:tcPr>
            <w:tcW w:w="906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3</w:t>
            </w:r>
          </w:p>
        </w:tc>
        <w:tc>
          <w:tcPr>
            <w:tcW w:w="1059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4</w:t>
            </w:r>
          </w:p>
        </w:tc>
        <w:tc>
          <w:tcPr>
            <w:tcW w:w="1662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5</w:t>
            </w:r>
          </w:p>
        </w:tc>
        <w:tc>
          <w:tcPr>
            <w:tcW w:w="73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6</w:t>
            </w:r>
          </w:p>
        </w:tc>
        <w:tc>
          <w:tcPr>
            <w:tcW w:w="967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7</w:t>
            </w:r>
          </w:p>
        </w:tc>
        <w:tc>
          <w:tcPr>
            <w:tcW w:w="967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8</w:t>
            </w:r>
          </w:p>
        </w:tc>
        <w:tc>
          <w:tcPr>
            <w:tcW w:w="928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9</w:t>
            </w:r>
          </w:p>
        </w:tc>
        <w:tc>
          <w:tcPr>
            <w:tcW w:w="899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71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11</w:t>
            </w:r>
          </w:p>
        </w:tc>
        <w:tc>
          <w:tcPr>
            <w:tcW w:w="69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12</w:t>
            </w:r>
          </w:p>
        </w:tc>
        <w:tc>
          <w:tcPr>
            <w:tcW w:w="756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13 (</w:t>
            </w:r>
            <w:hyperlink w:anchor="P222" w:tooltip="14 (гр. 16 + гр. 18)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14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+ </w:t>
            </w:r>
            <w:hyperlink w:anchor="P223" w:tooltip="15 (гр. 17 + гр. 19)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15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)</w:t>
            </w:r>
          </w:p>
        </w:tc>
        <w:tc>
          <w:tcPr>
            <w:tcW w:w="756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9" w:name="P222"/>
            <w:bookmarkEnd w:id="9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14 (</w:t>
            </w:r>
            <w:hyperlink w:anchor="P224" w:tooltip="16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16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+ </w:t>
            </w:r>
            <w:hyperlink w:anchor="P226" w:tooltip="18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18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)</w:t>
            </w:r>
          </w:p>
        </w:tc>
        <w:tc>
          <w:tcPr>
            <w:tcW w:w="755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10" w:name="P223"/>
            <w:bookmarkEnd w:id="10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15 (</w:t>
            </w:r>
            <w:hyperlink w:anchor="P225" w:tooltip="17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17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+ </w:t>
            </w:r>
            <w:hyperlink w:anchor="P227" w:tooltip="19" w:history="1">
              <w:r w:rsidRPr="006A49E5">
                <w:rPr>
                  <w:rFonts w:ascii="PT Astra Serif" w:eastAsia="PT Astra Serif" w:hAnsi="PT Astra Serif" w:cs="PT Astra Serif"/>
                  <w:sz w:val="18"/>
                  <w:szCs w:val="18"/>
                </w:rPr>
                <w:t>гр. 19</w:t>
              </w:r>
            </w:hyperlink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)</w:t>
            </w:r>
          </w:p>
        </w:tc>
        <w:tc>
          <w:tcPr>
            <w:tcW w:w="550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11" w:name="P224"/>
            <w:bookmarkEnd w:id="11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16</w:t>
            </w:r>
          </w:p>
        </w:tc>
        <w:tc>
          <w:tcPr>
            <w:tcW w:w="665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12" w:name="P225"/>
            <w:bookmarkEnd w:id="12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17</w:t>
            </w:r>
          </w:p>
        </w:tc>
        <w:tc>
          <w:tcPr>
            <w:tcW w:w="580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13" w:name="P226"/>
            <w:bookmarkEnd w:id="13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18</w:t>
            </w:r>
          </w:p>
        </w:tc>
        <w:tc>
          <w:tcPr>
            <w:tcW w:w="665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bookmarkStart w:id="14" w:name="P227"/>
            <w:bookmarkEnd w:id="14"/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19</w:t>
            </w: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059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662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31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928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1-й год</w:t>
            </w:r>
          </w:p>
        </w:tc>
        <w:tc>
          <w:tcPr>
            <w:tcW w:w="691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2-й год</w:t>
            </w:r>
          </w:p>
        </w:tc>
        <w:tc>
          <w:tcPr>
            <w:tcW w:w="691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...</w:t>
            </w:r>
          </w:p>
        </w:tc>
        <w:tc>
          <w:tcPr>
            <w:tcW w:w="691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1F3102" w:rsidRPr="006A49E5" w:rsidTr="005633BC">
        <w:trPr>
          <w:trHeight w:val="20"/>
        </w:trPr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1F3102" w:rsidRPr="006A49E5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1F3102" w:rsidRPr="006A49E5" w:rsidRDefault="003D3CFD">
            <w:pPr>
              <w:pStyle w:val="ConsPlusNormal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6A49E5">
              <w:rPr>
                <w:rFonts w:ascii="PT Astra Serif" w:eastAsia="PT Astra Serif" w:hAnsi="PT Astra Serif" w:cs="PT Astra Serif"/>
                <w:sz w:val="18"/>
                <w:szCs w:val="18"/>
              </w:rPr>
              <w:t>№-й год</w:t>
            </w:r>
          </w:p>
        </w:tc>
        <w:tc>
          <w:tcPr>
            <w:tcW w:w="691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F3102" w:rsidRPr="006A49E5" w:rsidRDefault="001F3102">
            <w:pPr>
              <w:pStyle w:val="ConsPlusNormal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</w:tbl>
    <w:p w:rsidR="001F3102" w:rsidRDefault="001F3102">
      <w:pPr>
        <w:rPr>
          <w:rFonts w:ascii="PT Astra Serif" w:hAnsi="PT Astra Serif"/>
        </w:rPr>
      </w:pPr>
    </w:p>
    <w:p w:rsidR="003600BF" w:rsidRDefault="003D3CFD" w:rsidP="005633BC">
      <w:pPr>
        <w:tabs>
          <w:tab w:val="left" w:pos="2759"/>
        </w:tabs>
        <w:rPr>
          <w:rFonts w:ascii="PT Astra Serif" w:hAnsi="PT Astra Serif"/>
          <w:sz w:val="26"/>
          <w:szCs w:val="26"/>
        </w:rPr>
        <w:sectPr w:rsidR="003600BF" w:rsidSect="003B4D88">
          <w:pgSz w:w="16838" w:h="11906" w:orient="landscape"/>
          <w:pgMar w:top="851" w:right="567" w:bottom="567" w:left="567" w:header="709" w:footer="0" w:gutter="0"/>
          <w:cols w:space="720"/>
          <w:titlePg/>
          <w:docGrid w:linePitch="360"/>
        </w:sectPr>
      </w:pPr>
      <w:r>
        <w:rPr>
          <w:rFonts w:ascii="PT Astra Serif" w:hAnsi="PT Astra Serif"/>
          <w:sz w:val="26"/>
          <w:szCs w:val="26"/>
        </w:rPr>
        <w:t>Глава муниципального образования ___________________________</w:t>
      </w:r>
    </w:p>
    <w:p w:rsidR="001F3102" w:rsidRPr="005633BC" w:rsidRDefault="001F3102" w:rsidP="005633BC">
      <w:pPr>
        <w:tabs>
          <w:tab w:val="left" w:pos="2759"/>
        </w:tabs>
        <w:rPr>
          <w:rFonts w:ascii="PT Astra Serif" w:hAnsi="PT Astra Serif"/>
          <w:sz w:val="26"/>
          <w:szCs w:val="26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right"/>
        <w:outlineLvl w:val="0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jc w:val="right"/>
        <w:outlineLvl w:val="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Приложение № 2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к Порядку предоставления и распределения субсидий из областного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бюджета бюджетам муниципальных образований Томской области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на </w:t>
      </w:r>
      <w:proofErr w:type="spellStart"/>
      <w:r>
        <w:rPr>
          <w:rFonts w:ascii="PT Astra Serif" w:hAnsi="PT Astra Serif"/>
          <w:szCs w:val="24"/>
        </w:rPr>
        <w:t>софинансирование</w:t>
      </w:r>
      <w:proofErr w:type="spellEnd"/>
      <w:r>
        <w:rPr>
          <w:rFonts w:ascii="PT Astra Serif" w:hAnsi="PT Astra Serif"/>
          <w:szCs w:val="24"/>
        </w:rPr>
        <w:t xml:space="preserve"> платы </w:t>
      </w:r>
      <w:proofErr w:type="spellStart"/>
      <w:r>
        <w:rPr>
          <w:rFonts w:ascii="PT Astra Serif" w:hAnsi="PT Astra Serif"/>
          <w:szCs w:val="24"/>
        </w:rPr>
        <w:t>концедента</w:t>
      </w:r>
      <w:proofErr w:type="spellEnd"/>
      <w:r>
        <w:rPr>
          <w:rFonts w:ascii="PT Astra Serif" w:hAnsi="PT Astra Serif"/>
          <w:szCs w:val="24"/>
        </w:rPr>
        <w:t xml:space="preserve"> по концессионным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соглашениям в отношении объектов систем теплоснабжения,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водоснабжения и водоотведения, электроснабжения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15" w:name="P289"/>
      <w:bookmarkEnd w:id="15"/>
      <w:r>
        <w:rPr>
          <w:rFonts w:ascii="PT Astra Serif" w:hAnsi="PT Astra Serif"/>
          <w:sz w:val="26"/>
          <w:szCs w:val="26"/>
        </w:rPr>
        <w:t>КРИТЕРИИ</w:t>
      </w: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ОЦЕНКИ ЭФФЕКТИВНОСТИ ИСПОЛЬЗОВАНИЯ СРЕДСТВ ОБЛАСТНОГО</w:t>
      </w:r>
    </w:p>
    <w:p w:rsidR="001F3102" w:rsidRDefault="003D3CF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БЮДЖЕТА, НАПРАВЛЯЕМЫХ НА СОФИНАНСИРОВАНИЕ ПЛАТЫ КОНЦЕДЕНТА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75"/>
        <w:gridCol w:w="5505"/>
        <w:gridCol w:w="1134"/>
      </w:tblGrid>
      <w:tr w:rsidR="001F3102" w:rsidRPr="00DC382D" w:rsidTr="00DC382D">
        <w:trPr>
          <w:cantSplit/>
          <w:trHeight w:val="20"/>
          <w:tblHeader/>
        </w:trPr>
        <w:tc>
          <w:tcPr>
            <w:tcW w:w="454" w:type="dxa"/>
            <w:vAlign w:val="center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п/п</w:t>
            </w:r>
          </w:p>
        </w:tc>
        <w:tc>
          <w:tcPr>
            <w:tcW w:w="3175" w:type="dxa"/>
            <w:vAlign w:val="center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Наименование критерия</w:t>
            </w:r>
          </w:p>
        </w:tc>
        <w:tc>
          <w:tcPr>
            <w:tcW w:w="5505" w:type="dxa"/>
            <w:vAlign w:val="center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Значение критерия</w:t>
            </w:r>
          </w:p>
        </w:tc>
        <w:tc>
          <w:tcPr>
            <w:tcW w:w="1134" w:type="dxa"/>
            <w:vAlign w:val="center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 xml:space="preserve">Балл (макс. 100), </w:t>
            </w:r>
            <w:proofErr w:type="spellStart"/>
            <w:r w:rsidRPr="00DC382D">
              <w:rPr>
                <w:rFonts w:ascii="PT Astra Serif" w:hAnsi="PT Astra Serif"/>
                <w:sz w:val="20"/>
                <w:szCs w:val="20"/>
              </w:rPr>
              <w:t>Ki</w:t>
            </w:r>
            <w:proofErr w:type="spellEnd"/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Этап концессионного проекта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Концессионный проект реализуется в рамках заключенного концессионного соглашения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Концессионный проект планируется к реализации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Соответствие концессионного проекта стратегическим приоритетам, указанным в Стратегии социально-экономического развития Томской области (далее - Стратегия)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Цель концессионного проекта соответствует приоритетам, обозначенным в Стратегии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Цель концессионного проекта не соответствует приоритетам, обозначенным в Стратегии, либо не указана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Соответствие концессионного проекта мероприятиям, включенным в утвержденную схему соответствующих коммунальных систем (муниципальную программу комплексного развития систем коммунальной инфраструктуры)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Мероприятия концессионного проекта соответствуют мероприятиям, включенным в утвержденную схему теплоснабжения или в утвержденную схему водоснабжения и водоотведения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bottom w:val="single" w:sz="4" w:space="0" w:color="auto"/>
            </w:tcBorders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  <w:tcBorders>
              <w:bottom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Мероприятия концессионного проекта не соответствуют мероприятиям, включенным в утвержденную схему теплоснабжения или в утвержденную схему водоснабжения и водоотведения (либо схемы подлежат актуализации)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Соответствие фактического состояния (наличия) объектов концессионного проекта требованиям о нормативном состоянии (потребности)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Фактическое состояние объектов концессионного проекта не удовлетворяет нормативному или наличие объектов меньше потребности, необходимой для оказания соответствующих коммунальных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  <w:tcBorders>
              <w:top w:val="single" w:sz="4" w:space="0" w:color="auto"/>
            </w:tcBorders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</w:tcBorders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  <w:tcBorders>
              <w:top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Фактическое состояние объектов концессионного проекта удовлетворяет нормативному или наличие объектов меньше потребности, необходимой для оказания соответствующих коммунальных услуг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Соответствие проектной мощности объектов концессионного проекта требуемой мощности, в том числе прогнозной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Проектная мощность объекта концессионного проекта соответствует потребности (в том числе прогнозной)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Проектная мощность объекта концессионного проекта не соответствует потребности (в том числе прогнозной)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lastRenderedPageBreak/>
              <w:t>6.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Привлечение внебюджетных средств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Финансирование мероприятий концессионного проекта за счет внебюджетных источников составляет более 20,6% от общей стоимости мероприятий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Финансирование мероприятий концессионного проекта за счет внебюджетных источников составляет менее 20,6% от общей стоимости мероприятий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Финансирование мероприятий концессионного проекта за счет внебюджетных источников отсутствует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7.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Привлечение средств федерального бюджета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Мероприятия концессионного проекта реализуются (планируются к реализации) с привлечением средств федерального бюджета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Мероприятия концессионного проекта реализуются (планируются к реализации) без привлечения средств федерального бюджета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8.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Возможность снижения расходов областного бюджета по итогам реализации концессионного проекта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Имеется возможность снижения расходов областного бюджета по итогам реализации концессионного проекта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Отсутствует возможность снижения расходов областного бюджета по итогам реализации концессионного проекта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9.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Наличие положительного заключения государственной экспертизы о проверке достоверности определения сметной стоимости на мероприятия, предусмотренные концессионным проектом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Имеется положительное заключение государственной экспертизы о проверке достоверности определения сметной стоимости на мероприятия, предусмотренные концессионным проектом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Отсутствует положительное заключение государственной экспертизы о проверке достоверности определения сметной стоимости на мероприятия, предусмотренные концессионным проектом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Отношение сметной стоимости или предполагаемой (предельной) стоимости мероприятий концессионного проекта к значениям количественных показателей (показателя) результатов реализации концессионного проекта в сравнении с соответствующими показателями проекта-аналога &lt;*&gt;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Значение отношения сметной стоимости или предполагаемой (предельной) стоимости мероприятий концессионного проекта к значениям количественных показателей (показателя) результатов реализации концессионного проекта не превышает аналогичного значения по проектам-аналогам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Значение отношения сметной стоимости или предполагаемой (предельной) стоимости мероприятий концессионного проекта к значениям количественных показателей (показателя) результатов реализации концессионного проекта превышает аналогичное значение по проектам-аналогам не более чем на 5%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Значение отношения сметной стоимости или предполагаемой (предельной) стоимости мероприятий концессионного проекта к значениям количественных показателей (показателя) результатов реализации концессионного проекта превышает аналогичное значение по проектам-аналогам более чем на 5% или проект-аналог не представлен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 w:val="restart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11.</w:t>
            </w:r>
          </w:p>
        </w:tc>
        <w:tc>
          <w:tcPr>
            <w:tcW w:w="3175" w:type="dxa"/>
            <w:vMerge w:val="restart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 xml:space="preserve">Исполнение мероприятий действующего концессионного </w:t>
            </w:r>
            <w:r w:rsidRPr="00DC382D">
              <w:rPr>
                <w:rFonts w:ascii="PT Astra Serif" w:hAnsi="PT Astra Serif"/>
                <w:sz w:val="20"/>
                <w:szCs w:val="20"/>
              </w:rPr>
              <w:lastRenderedPageBreak/>
              <w:t>соглашения (критерий не применим в отношении концессионных проектов, планируемых к реализации)</w:t>
            </w: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lastRenderedPageBreak/>
              <w:t>Мероприятия концессионного соглашения не реализованы в полном объеме и установленные соглашением сроки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1F3102" w:rsidRPr="00DC382D" w:rsidTr="00DC382D">
        <w:trPr>
          <w:cantSplit/>
          <w:trHeight w:val="20"/>
        </w:trPr>
        <w:tc>
          <w:tcPr>
            <w:tcW w:w="454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:rsidR="001F3102" w:rsidRPr="00DC382D" w:rsidRDefault="001F3102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505" w:type="dxa"/>
          </w:tcPr>
          <w:p w:rsidR="001F3102" w:rsidRPr="00DC382D" w:rsidRDefault="003D3CFD" w:rsidP="00DC382D">
            <w:pPr>
              <w:pStyle w:val="ConsPlusNormal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Допущены нарушения установленных сроков и уменьшение объемов при реализации мероприятий концессионного соглашения</w:t>
            </w:r>
          </w:p>
        </w:tc>
        <w:tc>
          <w:tcPr>
            <w:tcW w:w="1134" w:type="dxa"/>
          </w:tcPr>
          <w:p w:rsidR="001F3102" w:rsidRPr="00DC382D" w:rsidRDefault="003D3CFD" w:rsidP="00DC382D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382D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</w:tr>
    </w:tbl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--------------------------------</w:t>
      </w:r>
    </w:p>
    <w:p w:rsidR="001F3102" w:rsidRDefault="003D3CFD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 w:val="26"/>
          <w:szCs w:val="26"/>
        </w:rPr>
        <w:t>&lt;*</w:t>
      </w:r>
      <w:r>
        <w:rPr>
          <w:rFonts w:ascii="PT Astra Serif" w:hAnsi="PT Astra Serif"/>
          <w:szCs w:val="24"/>
        </w:rPr>
        <w:t>&gt; При выборе проекта-аналога необходимо обеспечить максимальное совпадение характеристик объекта, создаваемого в соответствии с концессионным проектом, и характеристик объекта, созданного в соответствии с проектом-аналогом, по функциональному назначению.</w:t>
      </w:r>
    </w:p>
    <w:p w:rsidR="001F3102" w:rsidRDefault="001F310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Рейтинг эффективности рассчитывается по следующей формуле: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925114" cy="256631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8518955" name="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925113" cy="2566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2.84pt;height:20.21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:rsidR="001F3102" w:rsidRDefault="001F3102">
      <w:pPr>
        <w:pStyle w:val="ConsPlusNormal"/>
        <w:jc w:val="center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Ri</w:t>
      </w:r>
      <w:proofErr w:type="spellEnd"/>
      <w:r>
        <w:rPr>
          <w:rFonts w:ascii="PT Astra Serif" w:hAnsi="PT Astra Serif"/>
          <w:sz w:val="26"/>
          <w:szCs w:val="26"/>
        </w:rPr>
        <w:t xml:space="preserve"> - рейтинг эффективности;</w:t>
      </w:r>
    </w:p>
    <w:p w:rsidR="001F3102" w:rsidRDefault="003D3CF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Ki</w:t>
      </w:r>
      <w:proofErr w:type="spellEnd"/>
      <w:r>
        <w:rPr>
          <w:rFonts w:ascii="PT Astra Serif" w:hAnsi="PT Astra Serif"/>
          <w:sz w:val="26"/>
          <w:szCs w:val="26"/>
        </w:rPr>
        <w:t xml:space="preserve"> - балльное значение критерия эффективности.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DC382D" w:rsidRDefault="00DC382D">
      <w:pPr>
        <w:pStyle w:val="ConsPlusNormal"/>
        <w:jc w:val="right"/>
        <w:outlineLvl w:val="0"/>
        <w:rPr>
          <w:rFonts w:ascii="PT Astra Serif" w:hAnsi="PT Astra Serif"/>
          <w:szCs w:val="24"/>
        </w:rPr>
        <w:sectPr w:rsidR="00DC382D" w:rsidSect="003B4D88">
          <w:pgSz w:w="11906" w:h="16838"/>
          <w:pgMar w:top="680" w:right="567" w:bottom="1440" w:left="1134" w:header="709" w:footer="0" w:gutter="0"/>
          <w:cols w:space="720"/>
          <w:titlePg/>
          <w:docGrid w:linePitch="360"/>
        </w:sectPr>
      </w:pPr>
    </w:p>
    <w:p w:rsidR="001F3102" w:rsidRDefault="003D3CFD">
      <w:pPr>
        <w:pStyle w:val="ConsPlusNormal"/>
        <w:jc w:val="right"/>
        <w:outlineLvl w:val="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Приложение № 3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к Порядку предоставления и распределения субсидий из областного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бюджета бюджетам муниципальных образований Томской области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на </w:t>
      </w:r>
      <w:proofErr w:type="spellStart"/>
      <w:r>
        <w:rPr>
          <w:rFonts w:ascii="PT Astra Serif" w:hAnsi="PT Astra Serif"/>
          <w:szCs w:val="24"/>
        </w:rPr>
        <w:t>софинансирование</w:t>
      </w:r>
      <w:proofErr w:type="spellEnd"/>
      <w:r>
        <w:rPr>
          <w:rFonts w:ascii="PT Astra Serif" w:hAnsi="PT Astra Serif"/>
          <w:szCs w:val="24"/>
        </w:rPr>
        <w:t xml:space="preserve"> платы </w:t>
      </w:r>
      <w:proofErr w:type="spellStart"/>
      <w:r>
        <w:rPr>
          <w:rFonts w:ascii="PT Astra Serif" w:hAnsi="PT Astra Serif"/>
          <w:szCs w:val="24"/>
        </w:rPr>
        <w:t>концедента</w:t>
      </w:r>
      <w:proofErr w:type="spellEnd"/>
      <w:r>
        <w:rPr>
          <w:rFonts w:ascii="PT Astra Serif" w:hAnsi="PT Astra Serif"/>
          <w:szCs w:val="24"/>
        </w:rPr>
        <w:t xml:space="preserve"> по концессионным</w:t>
      </w: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соглашениям в отношении объектов систем теплоснабжения,</w:t>
      </w:r>
    </w:p>
    <w:p w:rsidR="001F3102" w:rsidRDefault="003D3CFD" w:rsidP="003B4D88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водоснабжения и водоотведения, электроснабжения</w:t>
      </w:r>
    </w:p>
    <w:p w:rsidR="001F3102" w:rsidRDefault="003D3CFD">
      <w:pPr>
        <w:pStyle w:val="ConsPlusNormal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Форма</w:t>
      </w:r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bookmarkStart w:id="16" w:name="P393"/>
      <w:bookmarkEnd w:id="16"/>
      <w:r>
        <w:rPr>
          <w:rFonts w:ascii="PT Astra Serif" w:hAnsi="PT Astra Serif"/>
          <w:szCs w:val="24"/>
        </w:rPr>
        <w:t>Решение конкурсной комиссии о предоставлении муниципальным</w:t>
      </w: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образованиям Томской области финансовой поддержки</w:t>
      </w:r>
    </w:p>
    <w:p w:rsidR="001F3102" w:rsidRDefault="003D3CFD">
      <w:pPr>
        <w:pStyle w:val="ConsPlusNormal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из областного бюджета на </w:t>
      </w:r>
      <w:proofErr w:type="spellStart"/>
      <w:r>
        <w:rPr>
          <w:rFonts w:ascii="PT Astra Serif" w:hAnsi="PT Astra Serif"/>
          <w:szCs w:val="24"/>
        </w:rPr>
        <w:t>софинансирование</w:t>
      </w:r>
      <w:proofErr w:type="spellEnd"/>
      <w:r>
        <w:rPr>
          <w:rFonts w:ascii="PT Astra Serif" w:hAnsi="PT Astra Serif"/>
          <w:szCs w:val="24"/>
        </w:rPr>
        <w:t xml:space="preserve"> платы </w:t>
      </w:r>
      <w:proofErr w:type="spellStart"/>
      <w:r>
        <w:rPr>
          <w:rFonts w:ascii="PT Astra Serif" w:hAnsi="PT Astra Serif"/>
          <w:szCs w:val="24"/>
        </w:rPr>
        <w:t>концедента</w:t>
      </w:r>
      <w:proofErr w:type="spellEnd"/>
    </w:p>
    <w:p w:rsidR="001F3102" w:rsidRDefault="001F3102">
      <w:pPr>
        <w:pStyle w:val="ConsPlusNormal"/>
        <w:jc w:val="both"/>
        <w:rPr>
          <w:rFonts w:ascii="PT Astra Serif" w:hAnsi="PT Astra Serif"/>
          <w:szCs w:val="24"/>
        </w:rPr>
      </w:pPr>
    </w:p>
    <w:p w:rsidR="001F3102" w:rsidRDefault="003D3CFD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1396"/>
        <w:gridCol w:w="1283"/>
        <w:gridCol w:w="1455"/>
        <w:gridCol w:w="857"/>
        <w:gridCol w:w="1209"/>
        <w:gridCol w:w="906"/>
        <w:gridCol w:w="1058"/>
        <w:gridCol w:w="1059"/>
        <w:gridCol w:w="962"/>
        <w:gridCol w:w="1134"/>
        <w:gridCol w:w="992"/>
        <w:gridCol w:w="1134"/>
        <w:gridCol w:w="992"/>
        <w:gridCol w:w="1024"/>
      </w:tblGrid>
      <w:tr w:rsidR="001F3102" w:rsidRPr="003B4D88" w:rsidTr="003B4D88">
        <w:tc>
          <w:tcPr>
            <w:tcW w:w="367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№ п/п</w:t>
            </w:r>
          </w:p>
        </w:tc>
        <w:tc>
          <w:tcPr>
            <w:tcW w:w="1396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283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 xml:space="preserve">Наименование </w:t>
            </w:r>
            <w:proofErr w:type="spellStart"/>
            <w:r w:rsidRPr="003B4D88">
              <w:rPr>
                <w:rFonts w:ascii="PT Astra Serif" w:hAnsi="PT Astra Serif"/>
                <w:sz w:val="18"/>
                <w:szCs w:val="18"/>
              </w:rPr>
              <w:t>концессион</w:t>
            </w:r>
            <w:r w:rsidR="003B4D88">
              <w:rPr>
                <w:rFonts w:ascii="PT Astra Serif" w:hAnsi="PT Astra Serif"/>
                <w:sz w:val="18"/>
                <w:szCs w:val="18"/>
              </w:rPr>
              <w:t>-</w:t>
            </w:r>
            <w:r w:rsidRPr="003B4D88">
              <w:rPr>
                <w:rFonts w:ascii="PT Astra Serif" w:hAnsi="PT Astra Serif"/>
                <w:sz w:val="18"/>
                <w:szCs w:val="18"/>
              </w:rPr>
              <w:t>ного</w:t>
            </w:r>
            <w:proofErr w:type="spellEnd"/>
            <w:r w:rsidRPr="003B4D88">
              <w:rPr>
                <w:rFonts w:ascii="PT Astra Serif" w:hAnsi="PT Astra Serif"/>
                <w:sz w:val="18"/>
                <w:szCs w:val="18"/>
              </w:rPr>
              <w:t xml:space="preserve"> проекта</w:t>
            </w:r>
          </w:p>
        </w:tc>
        <w:tc>
          <w:tcPr>
            <w:tcW w:w="1455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Объекты концессионного проекта (теплоснабжение, ГВС, ХВС, водоотведение)</w:t>
            </w:r>
          </w:p>
        </w:tc>
        <w:tc>
          <w:tcPr>
            <w:tcW w:w="857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Стоимость мероприятий концессионного проекта</w:t>
            </w:r>
          </w:p>
        </w:tc>
        <w:tc>
          <w:tcPr>
            <w:tcW w:w="1209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Срок реализации концессионного соглашения</w:t>
            </w:r>
          </w:p>
        </w:tc>
        <w:tc>
          <w:tcPr>
            <w:tcW w:w="906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Наименование ГРБС</w:t>
            </w:r>
          </w:p>
        </w:tc>
        <w:tc>
          <w:tcPr>
            <w:tcW w:w="8355" w:type="dxa"/>
            <w:gridSpan w:val="8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Предоставление финансовой поддержки из областного и местного бюджетов</w:t>
            </w:r>
          </w:p>
        </w:tc>
      </w:tr>
      <w:tr w:rsidR="001F3102" w:rsidRPr="003B4D88" w:rsidTr="003B4D88">
        <w:trPr>
          <w:trHeight w:val="230"/>
        </w:trPr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 xml:space="preserve">год </w:t>
            </w:r>
            <w:proofErr w:type="spellStart"/>
            <w:r w:rsidRPr="003B4D88">
              <w:rPr>
                <w:rFonts w:ascii="PT Astra Serif" w:hAnsi="PT Astra Serif"/>
                <w:sz w:val="18"/>
                <w:szCs w:val="18"/>
              </w:rPr>
              <w:t>предос</w:t>
            </w:r>
            <w:r w:rsidR="003B4D88" w:rsidRPr="003B4D88">
              <w:rPr>
                <w:rFonts w:ascii="PT Astra Serif" w:hAnsi="PT Astra Serif"/>
                <w:sz w:val="18"/>
                <w:szCs w:val="18"/>
              </w:rPr>
              <w:t>-</w:t>
            </w:r>
            <w:r w:rsidRPr="003B4D88">
              <w:rPr>
                <w:rFonts w:ascii="PT Astra Serif" w:hAnsi="PT Astra Serif"/>
                <w:sz w:val="18"/>
                <w:szCs w:val="18"/>
              </w:rPr>
              <w:t>тавления</w:t>
            </w:r>
            <w:proofErr w:type="spellEnd"/>
            <w:r w:rsidRPr="003B4D88">
              <w:rPr>
                <w:rFonts w:ascii="PT Astra Serif" w:hAnsi="PT Astra Serif"/>
                <w:sz w:val="18"/>
                <w:szCs w:val="18"/>
              </w:rPr>
              <w:t xml:space="preserve"> под</w:t>
            </w:r>
            <w:r w:rsidR="003B4D88" w:rsidRPr="003B4D88">
              <w:rPr>
                <w:rFonts w:ascii="PT Astra Serif" w:hAnsi="PT Astra Serif"/>
                <w:sz w:val="18"/>
                <w:szCs w:val="18"/>
              </w:rPr>
              <w:t>-</w:t>
            </w:r>
            <w:proofErr w:type="spellStart"/>
            <w:r w:rsidRPr="003B4D88">
              <w:rPr>
                <w:rFonts w:ascii="PT Astra Serif" w:hAnsi="PT Astra Serif"/>
                <w:sz w:val="18"/>
                <w:szCs w:val="18"/>
              </w:rPr>
              <w:t>держки</w:t>
            </w:r>
            <w:proofErr w:type="spellEnd"/>
          </w:p>
        </w:tc>
        <w:tc>
          <w:tcPr>
            <w:tcW w:w="1059" w:type="dxa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всего размер платы конце</w:t>
            </w:r>
            <w:r w:rsidR="003B4D88" w:rsidRPr="003B4D88">
              <w:rPr>
                <w:rFonts w:ascii="PT Astra Serif" w:hAnsi="PT Astra Serif"/>
                <w:sz w:val="18"/>
                <w:szCs w:val="18"/>
              </w:rPr>
              <w:t>-</w:t>
            </w:r>
            <w:proofErr w:type="spellStart"/>
            <w:r w:rsidRPr="003B4D88">
              <w:rPr>
                <w:rFonts w:ascii="PT Astra Serif" w:hAnsi="PT Astra Serif"/>
                <w:sz w:val="18"/>
                <w:szCs w:val="18"/>
              </w:rPr>
              <w:t>дента</w:t>
            </w:r>
            <w:proofErr w:type="spellEnd"/>
          </w:p>
        </w:tc>
        <w:tc>
          <w:tcPr>
            <w:tcW w:w="2096" w:type="dxa"/>
            <w:gridSpan w:val="2"/>
            <w:vMerge w:val="restart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в том числе</w:t>
            </w:r>
          </w:p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обеспеченной из:</w:t>
            </w:r>
          </w:p>
        </w:tc>
        <w:tc>
          <w:tcPr>
            <w:tcW w:w="4142" w:type="dxa"/>
            <w:gridSpan w:val="4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 xml:space="preserve">расходы, принимаемые </w:t>
            </w:r>
            <w:proofErr w:type="spellStart"/>
            <w:r w:rsidRPr="003B4D88">
              <w:rPr>
                <w:rFonts w:ascii="PT Astra Serif" w:hAnsi="PT Astra Serif"/>
                <w:sz w:val="18"/>
                <w:szCs w:val="18"/>
              </w:rPr>
              <w:t>концедентом</w:t>
            </w:r>
            <w:proofErr w:type="spellEnd"/>
            <w:r w:rsidRPr="003B4D88">
              <w:rPr>
                <w:rFonts w:ascii="PT Astra Serif" w:hAnsi="PT Astra Serif"/>
                <w:sz w:val="18"/>
                <w:szCs w:val="18"/>
              </w:rPr>
              <w:t>, в том числе:</w:t>
            </w:r>
          </w:p>
        </w:tc>
      </w:tr>
      <w:tr w:rsidR="001F3102" w:rsidRPr="003B4D88" w:rsidTr="003B4D88"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096" w:type="dxa"/>
            <w:gridSpan w:val="2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на создание и (или) реконструкцию объекта концессионного соглашения</w:t>
            </w:r>
          </w:p>
        </w:tc>
        <w:tc>
          <w:tcPr>
            <w:tcW w:w="2016" w:type="dxa"/>
            <w:gridSpan w:val="2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на использование (эксплуатацию) объекта концессионного соглашения</w:t>
            </w:r>
          </w:p>
        </w:tc>
      </w:tr>
      <w:tr w:rsidR="001F3102" w:rsidRPr="003B4D88" w:rsidTr="003B4D88">
        <w:trPr>
          <w:trHeight w:val="483"/>
        </w:trPr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местного бюджета</w:t>
            </w:r>
          </w:p>
        </w:tc>
        <w:tc>
          <w:tcPr>
            <w:tcW w:w="113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местный бюджет</w:t>
            </w:r>
          </w:p>
        </w:tc>
        <w:tc>
          <w:tcPr>
            <w:tcW w:w="102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областной бюджет</w:t>
            </w:r>
          </w:p>
        </w:tc>
      </w:tr>
      <w:tr w:rsidR="001F3102" w:rsidRPr="003B4D88" w:rsidTr="003B4D88">
        <w:trPr>
          <w:trHeight w:val="493"/>
        </w:trPr>
        <w:tc>
          <w:tcPr>
            <w:tcW w:w="367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396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283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455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857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209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906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058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059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9 (</w:t>
            </w:r>
            <w:hyperlink w:anchor="P428" w:tooltip="10 (гр. 12 + гр. 14)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10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 xml:space="preserve"> + </w:t>
            </w:r>
            <w:hyperlink w:anchor="P429" w:tooltip="11 (гр. 13 + гр. 15)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11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96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17" w:name="P428"/>
            <w:bookmarkEnd w:id="17"/>
            <w:r w:rsidRPr="003B4D88">
              <w:rPr>
                <w:rFonts w:ascii="PT Astra Serif" w:hAnsi="PT Astra Serif"/>
                <w:sz w:val="18"/>
                <w:szCs w:val="18"/>
              </w:rPr>
              <w:t>10 (</w:t>
            </w:r>
            <w:hyperlink w:anchor="P430" w:tooltip="12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12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 xml:space="preserve"> + </w:t>
            </w:r>
            <w:hyperlink w:anchor="P432" w:tooltip="14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14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18" w:name="P429"/>
            <w:bookmarkEnd w:id="18"/>
            <w:r w:rsidRPr="003B4D88">
              <w:rPr>
                <w:rFonts w:ascii="PT Astra Serif" w:hAnsi="PT Astra Serif"/>
                <w:sz w:val="18"/>
                <w:szCs w:val="18"/>
              </w:rPr>
              <w:t>11 (</w:t>
            </w:r>
            <w:hyperlink w:anchor="P431" w:tooltip="13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13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 xml:space="preserve"> + </w:t>
            </w:r>
            <w:hyperlink w:anchor="P433" w:tooltip="15" w:history="1">
              <w:r w:rsidRPr="003B4D88">
                <w:rPr>
                  <w:rFonts w:ascii="PT Astra Serif" w:hAnsi="PT Astra Serif"/>
                  <w:sz w:val="18"/>
                  <w:szCs w:val="18"/>
                </w:rPr>
                <w:t>гр. 15</w:t>
              </w:r>
            </w:hyperlink>
            <w:r w:rsidRPr="003B4D8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19" w:name="P430"/>
            <w:bookmarkEnd w:id="19"/>
            <w:r w:rsidRPr="003B4D8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20" w:name="P431"/>
            <w:bookmarkEnd w:id="20"/>
            <w:r w:rsidRPr="003B4D88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21" w:name="P432"/>
            <w:bookmarkEnd w:id="21"/>
            <w:r w:rsidRPr="003B4D88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024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bookmarkStart w:id="22" w:name="P433"/>
            <w:bookmarkEnd w:id="22"/>
            <w:r w:rsidRPr="003B4D88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</w:tr>
      <w:tr w:rsidR="001F3102" w:rsidRPr="003B4D88" w:rsidTr="003B4D88">
        <w:trPr>
          <w:trHeight w:val="206"/>
        </w:trPr>
        <w:tc>
          <w:tcPr>
            <w:tcW w:w="367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1-й год</w:t>
            </w:r>
          </w:p>
        </w:tc>
        <w:tc>
          <w:tcPr>
            <w:tcW w:w="1059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1F3102" w:rsidRPr="003B4D88" w:rsidTr="003B4D88">
        <w:trPr>
          <w:trHeight w:val="55"/>
        </w:trPr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2-й год</w:t>
            </w:r>
          </w:p>
        </w:tc>
        <w:tc>
          <w:tcPr>
            <w:tcW w:w="1059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1F3102" w:rsidRPr="003B4D88" w:rsidTr="003B4D88">
        <w:trPr>
          <w:trHeight w:val="33"/>
        </w:trPr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...</w:t>
            </w:r>
          </w:p>
        </w:tc>
        <w:tc>
          <w:tcPr>
            <w:tcW w:w="1059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1F3102" w:rsidRPr="003B4D88" w:rsidTr="003B4D88">
        <w:trPr>
          <w:trHeight w:val="20"/>
        </w:trPr>
        <w:tc>
          <w:tcPr>
            <w:tcW w:w="36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55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F3102" w:rsidRPr="003B4D88" w:rsidRDefault="003D3CFD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B4D88">
              <w:rPr>
                <w:rFonts w:ascii="PT Astra Serif" w:hAnsi="PT Astra Serif"/>
                <w:sz w:val="18"/>
                <w:szCs w:val="18"/>
              </w:rPr>
              <w:t>№-й год</w:t>
            </w:r>
          </w:p>
        </w:tc>
        <w:tc>
          <w:tcPr>
            <w:tcW w:w="1059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1F3102" w:rsidRPr="003B4D88" w:rsidRDefault="001F3102">
            <w:pPr>
              <w:pStyle w:val="ConsPlusNormal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1F3102" w:rsidRDefault="001F3102">
      <w:pPr>
        <w:pStyle w:val="ConsPlusNormal"/>
        <w:jc w:val="both"/>
        <w:rPr>
          <w:rFonts w:ascii="PT Astra Serif" w:hAnsi="PT Astra Serif"/>
          <w:sz w:val="20"/>
          <w:szCs w:val="20"/>
        </w:rPr>
      </w:pPr>
    </w:p>
    <w:p w:rsidR="001F3102" w:rsidRDefault="003D3CFD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Подписи членов комиссии: _______________ / _______________ /</w:t>
      </w:r>
    </w:p>
    <w:p w:rsidR="001F3102" w:rsidRDefault="001F3102">
      <w:pPr>
        <w:pStyle w:val="ConsPlusNormal"/>
        <w:rPr>
          <w:rFonts w:ascii="PT Astra Serif" w:hAnsi="PT Astra Serif"/>
          <w:szCs w:val="24"/>
        </w:rPr>
      </w:pPr>
    </w:p>
    <w:sectPr w:rsidR="001F3102" w:rsidSect="003B4D88">
      <w:pgSz w:w="16838" w:h="11906" w:orient="landscape"/>
      <w:pgMar w:top="1134" w:right="567" w:bottom="1134" w:left="567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102" w:rsidRDefault="003D3CFD">
      <w:r>
        <w:separator/>
      </w:r>
    </w:p>
  </w:endnote>
  <w:endnote w:type="continuationSeparator" w:id="0">
    <w:p w:rsidR="001F3102" w:rsidRDefault="003D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102" w:rsidRDefault="003D3CFD">
      <w:r>
        <w:separator/>
      </w:r>
    </w:p>
  </w:footnote>
  <w:footnote w:type="continuationSeparator" w:id="0">
    <w:p w:rsidR="001F3102" w:rsidRDefault="003D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6735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B4D88" w:rsidRPr="003B4D88" w:rsidRDefault="003B4D88" w:rsidP="003B4D88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B4D88">
          <w:rPr>
            <w:rFonts w:ascii="PT Astra Serif" w:hAnsi="PT Astra Serif"/>
            <w:sz w:val="24"/>
            <w:szCs w:val="24"/>
          </w:rPr>
          <w:fldChar w:fldCharType="begin"/>
        </w:r>
        <w:r w:rsidRPr="003B4D88">
          <w:rPr>
            <w:rFonts w:ascii="PT Astra Serif" w:hAnsi="PT Astra Serif"/>
            <w:sz w:val="24"/>
            <w:szCs w:val="24"/>
          </w:rPr>
          <w:instrText>PAGE   \* MERGEFORMAT</w:instrText>
        </w:r>
        <w:r w:rsidRPr="003B4D88">
          <w:rPr>
            <w:rFonts w:ascii="PT Astra Serif" w:hAnsi="PT Astra Serif"/>
            <w:sz w:val="24"/>
            <w:szCs w:val="24"/>
          </w:rPr>
          <w:fldChar w:fldCharType="separate"/>
        </w:r>
        <w:r w:rsidR="00C53EB2">
          <w:rPr>
            <w:rFonts w:ascii="PT Astra Serif" w:hAnsi="PT Astra Serif"/>
            <w:noProof/>
            <w:sz w:val="24"/>
            <w:szCs w:val="24"/>
          </w:rPr>
          <w:t>380</w:t>
        </w:r>
        <w:r w:rsidRPr="003B4D8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82516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B4D88" w:rsidRPr="003B4D88" w:rsidRDefault="003B4D88" w:rsidP="003B4D88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B4D88">
          <w:rPr>
            <w:rFonts w:ascii="PT Astra Serif" w:hAnsi="PT Astra Serif"/>
            <w:sz w:val="24"/>
            <w:szCs w:val="24"/>
          </w:rPr>
          <w:fldChar w:fldCharType="begin"/>
        </w:r>
        <w:r w:rsidRPr="003B4D88">
          <w:rPr>
            <w:rFonts w:ascii="PT Astra Serif" w:hAnsi="PT Astra Serif"/>
            <w:sz w:val="24"/>
            <w:szCs w:val="24"/>
          </w:rPr>
          <w:instrText>PAGE   \* MERGEFORMAT</w:instrText>
        </w:r>
        <w:r w:rsidRPr="003B4D88">
          <w:rPr>
            <w:rFonts w:ascii="PT Astra Serif" w:hAnsi="PT Astra Serif"/>
            <w:sz w:val="24"/>
            <w:szCs w:val="24"/>
          </w:rPr>
          <w:fldChar w:fldCharType="separate"/>
        </w:r>
        <w:r w:rsidR="00C53EB2">
          <w:rPr>
            <w:rFonts w:ascii="PT Astra Serif" w:hAnsi="PT Astra Serif"/>
            <w:noProof/>
            <w:sz w:val="24"/>
            <w:szCs w:val="24"/>
          </w:rPr>
          <w:t>378</w:t>
        </w:r>
        <w:r w:rsidRPr="003B4D8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02"/>
    <w:rsid w:val="001F3102"/>
    <w:rsid w:val="003600BF"/>
    <w:rsid w:val="003B4D88"/>
    <w:rsid w:val="003D3CFD"/>
    <w:rsid w:val="00526AB3"/>
    <w:rsid w:val="005633BC"/>
    <w:rsid w:val="006A49E5"/>
    <w:rsid w:val="00BA7056"/>
    <w:rsid w:val="00C5399B"/>
    <w:rsid w:val="00C53EB2"/>
    <w:rsid w:val="00DC382D"/>
    <w:rsid w:val="00F4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styleId="afa">
    <w:name w:val="Balloon Text"/>
    <w:basedOn w:val="a"/>
    <w:link w:val="afb"/>
    <w:uiPriority w:val="99"/>
    <w:semiHidden/>
    <w:unhideWhenUsed/>
    <w:rsid w:val="00BA705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A7056"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semiHidden/>
    <w:unhideWhenUsed/>
    <w:rsid w:val="00C53E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5976</Words>
  <Characters>34067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346а
(ред. от 18.07.2025)
"Об утверждении государственной программы "Развитие коммунальной инфраструктуры в Томской области"</vt:lpstr>
    </vt:vector>
  </TitlesOfParts>
  <Company>КонсультантПлюс Версия 4024.00.50</Company>
  <LinksUpToDate>false</LinksUpToDate>
  <CharactersWithSpaces>39964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346а
(ред. от 18.07.2025)
"Об утверждении государственной программы "Развитие коммунальной инфраструктуры в Томской области"</dc:title>
  <cp:lastModifiedBy>Еловикова Лилия Равильевна (elr)</cp:lastModifiedBy>
  <cp:revision>16</cp:revision>
  <dcterms:created xsi:type="dcterms:W3CDTF">2025-08-14T10:21:00Z</dcterms:created>
  <dcterms:modified xsi:type="dcterms:W3CDTF">2025-09-23T10:56:00Z</dcterms:modified>
</cp:coreProperties>
</file>